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oter3.xml" ContentType="application/vnd.openxmlformats-officedocument.wordprocessingml.footer+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ADF4EB" w14:textId="77777777" w:rsidR="00A23D33" w:rsidRDefault="00A23D33" w:rsidP="00BE2037">
      <w:bookmarkStart w:id="0" w:name="_Toc354129633"/>
      <w:r>
        <w:rPr>
          <w:noProof/>
        </w:rPr>
        <w:drawing>
          <wp:anchor distT="0" distB="0" distL="114300" distR="114300" simplePos="0" relativeHeight="251658240" behindDoc="1" locked="0" layoutInCell="1" allowOverlap="1" wp14:anchorId="01F006FF" wp14:editId="16585FBB">
            <wp:simplePos x="0" y="0"/>
            <wp:positionH relativeFrom="page">
              <wp:posOffset>-111157</wp:posOffset>
            </wp:positionH>
            <wp:positionV relativeFrom="paragraph">
              <wp:posOffset>-777240</wp:posOffset>
            </wp:positionV>
            <wp:extent cx="7779466" cy="10067544"/>
            <wp:effectExtent l="0" t="0" r="0" b="0"/>
            <wp:wrapNone/>
            <wp:docPr id="12"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a:extLst>
                        <a:ext uri="{C183D7F6-B498-43B3-948B-1728B52AA6E4}">
                          <adec:decorative xmlns:adec="http://schemas.microsoft.com/office/drawing/2017/decorative" val="1"/>
                        </a:ext>
                      </a:extLst>
                    </pic:cNvPr>
                    <pic:cNvPicPr/>
                  </pic:nvPicPr>
                  <pic:blipFill>
                    <a:blip r:embed="rId12">
                      <a:extLst>
                        <a:ext uri="{28A0092B-C50C-407E-A947-70E740481C1C}">
                          <a14:useLocalDpi xmlns:a14="http://schemas.microsoft.com/office/drawing/2010/main" val="0"/>
                        </a:ext>
                      </a:extLst>
                    </a:blip>
                    <a:stretch>
                      <a:fillRect/>
                    </a:stretch>
                  </pic:blipFill>
                  <pic:spPr>
                    <a:xfrm>
                      <a:off x="0" y="0"/>
                      <a:ext cx="7779466" cy="10067544"/>
                    </a:xfrm>
                    <a:prstGeom prst="rect">
                      <a:avLst/>
                    </a:prstGeom>
                  </pic:spPr>
                </pic:pic>
              </a:graphicData>
            </a:graphic>
            <wp14:sizeRelH relativeFrom="margin">
              <wp14:pctWidth>0</wp14:pctWidth>
            </wp14:sizeRelH>
            <wp14:sizeRelV relativeFrom="margin">
              <wp14:pctHeight>0</wp14:pctHeight>
            </wp14:sizeRelV>
          </wp:anchor>
        </w:drawing>
      </w:r>
    </w:p>
    <w:tbl>
      <w:tblPr>
        <w:tblStyle w:val="TableGrid"/>
        <w:tblW w:w="7200" w:type="dxa"/>
        <w:tblInd w:w="3960" w:type="dxa"/>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7200"/>
      </w:tblGrid>
      <w:tr w:rsidR="00A23D33" w14:paraId="27E16675" w14:textId="77777777" w:rsidTr="00FE483B">
        <w:trPr>
          <w:cantSplit/>
          <w:trHeight w:hRule="exact" w:val="5592"/>
          <w:tblHeader/>
        </w:trPr>
        <w:tc>
          <w:tcPr>
            <w:tcW w:w="7200" w:type="dxa"/>
            <w:tcBorders>
              <w:bottom w:val="single" w:sz="48" w:space="0" w:color="BBBEBE" w:themeColor="background2" w:themeShade="E6"/>
            </w:tcBorders>
            <w:vAlign w:val="bottom"/>
          </w:tcPr>
          <w:p w14:paraId="315E66D5" w14:textId="55072EB3" w:rsidR="003B3758" w:rsidRDefault="005E5DFE" w:rsidP="00C90E6F">
            <w:pPr>
              <w:pStyle w:val="Title"/>
            </w:pPr>
            <w:r>
              <w:t xml:space="preserve">Evaluation </w:t>
            </w:r>
            <w:r w:rsidR="00AA6632">
              <w:t xml:space="preserve">of </w:t>
            </w:r>
            <w:r w:rsidR="007B6BFA">
              <w:t xml:space="preserve">Four State Directed </w:t>
            </w:r>
            <w:r w:rsidR="00AA6632">
              <w:t>Payment</w:t>
            </w:r>
            <w:r w:rsidR="00936DCB">
              <w:t xml:space="preserve"> Programs</w:t>
            </w:r>
          </w:p>
          <w:p w14:paraId="774186E8" w14:textId="4DE5F74B" w:rsidR="00A23D33" w:rsidRDefault="001D0826" w:rsidP="00EC13D8">
            <w:pPr>
              <w:pStyle w:val="Subtitle"/>
            </w:pPr>
            <w:r w:rsidRPr="00EC13D8">
              <w:t>State Fiscal Years</w:t>
            </w:r>
            <w:r w:rsidR="00C41F0E" w:rsidRPr="00EC13D8">
              <w:rPr>
                <w:b w:val="0"/>
              </w:rPr>
              <w:br/>
            </w:r>
            <w:r w:rsidR="003B3758" w:rsidRPr="00EC13D8">
              <w:t>2022</w:t>
            </w:r>
            <w:r w:rsidR="003350DC">
              <w:t>, 2023</w:t>
            </w:r>
            <w:r w:rsidR="00C41F0E" w:rsidRPr="00EC13D8">
              <w:t xml:space="preserve"> </w:t>
            </w:r>
            <w:r w:rsidRPr="00EC13D8">
              <w:t>and</w:t>
            </w:r>
            <w:r w:rsidR="003B3758" w:rsidRPr="00EC13D8">
              <w:t xml:space="preserve"> 202</w:t>
            </w:r>
            <w:r w:rsidR="003350DC">
              <w:t>4</w:t>
            </w:r>
          </w:p>
        </w:tc>
      </w:tr>
      <w:tr w:rsidR="00A23D33" w14:paraId="474A906C" w14:textId="77777777" w:rsidTr="00FE483B">
        <w:trPr>
          <w:cantSplit/>
          <w:trHeight w:hRule="exact" w:val="3840"/>
        </w:trPr>
        <w:tc>
          <w:tcPr>
            <w:tcW w:w="7200" w:type="dxa"/>
            <w:tcBorders>
              <w:top w:val="single" w:sz="48" w:space="0" w:color="BBBEBE" w:themeColor="background2" w:themeShade="E6"/>
            </w:tcBorders>
            <w:tcMar>
              <w:top w:w="480" w:type="dxa"/>
            </w:tcMar>
          </w:tcPr>
          <w:p w14:paraId="0D245E83" w14:textId="3012E0A5" w:rsidR="00A23D33" w:rsidRDefault="00A23D33" w:rsidP="00B620BC">
            <w:pPr>
              <w:pStyle w:val="Subtitle"/>
            </w:pPr>
            <w:r>
              <w:t xml:space="preserve">As </w:t>
            </w:r>
            <w:r w:rsidR="00B620BC">
              <w:t>R</w:t>
            </w:r>
            <w:r>
              <w:t xml:space="preserve">equired by </w:t>
            </w:r>
            <w:r w:rsidR="00DE13DC" w:rsidRPr="00964192">
              <w:t>42 CFR 438.6(c)</w:t>
            </w:r>
          </w:p>
        </w:tc>
      </w:tr>
      <w:tr w:rsidR="00A23D33" w14:paraId="51BF34B8" w14:textId="77777777" w:rsidTr="00FE483B">
        <w:trPr>
          <w:cantSplit/>
          <w:trHeight w:hRule="exact" w:val="2880"/>
        </w:trPr>
        <w:tc>
          <w:tcPr>
            <w:tcW w:w="7200" w:type="dxa"/>
            <w:vAlign w:val="bottom"/>
          </w:tcPr>
          <w:p w14:paraId="129347FE" w14:textId="77777777" w:rsidR="00A23D33" w:rsidRDefault="00B620BC" w:rsidP="00BE2037">
            <w:pPr>
              <w:pStyle w:val="Subtitle"/>
            </w:pPr>
            <w:r>
              <w:t xml:space="preserve">Texas </w:t>
            </w:r>
            <w:r w:rsidR="00A23D33">
              <w:t>Health and Human Services Commission</w:t>
            </w:r>
          </w:p>
          <w:p w14:paraId="373D9D10" w14:textId="3E3BBDA6" w:rsidR="00A23D33" w:rsidRDefault="005918DC" w:rsidP="0082517C">
            <w:pPr>
              <w:pStyle w:val="Subtitle"/>
            </w:pPr>
            <w:r>
              <w:t xml:space="preserve">March </w:t>
            </w:r>
            <w:r w:rsidR="00432DB1">
              <w:t>202</w:t>
            </w:r>
            <w:r w:rsidR="003350DC">
              <w:t>4</w:t>
            </w:r>
          </w:p>
        </w:tc>
      </w:tr>
    </w:tbl>
    <w:p w14:paraId="2F5662BE" w14:textId="77777777" w:rsidR="00A23D33" w:rsidRPr="00CF2C1E" w:rsidRDefault="00A23D33" w:rsidP="00BE2037"/>
    <w:p w14:paraId="2016DC15" w14:textId="77777777" w:rsidR="00A23D33" w:rsidRDefault="00A23D33" w:rsidP="00BE2037">
      <w:pPr>
        <w:rPr>
          <w:rFonts w:cs="Arial"/>
        </w:rPr>
        <w:sectPr w:rsidR="00A23D33" w:rsidSect="00BE2037">
          <w:footerReference w:type="default" r:id="rId13"/>
          <w:pgSz w:w="12240" w:h="15840" w:code="1"/>
          <w:pgMar w:top="1200" w:right="360" w:bottom="360" w:left="360" w:header="720" w:footer="720" w:gutter="0"/>
          <w:pgNumType w:fmt="lowerRoman" w:start="1"/>
          <w:cols w:space="720"/>
          <w:titlePg/>
        </w:sectPr>
      </w:pPr>
    </w:p>
    <w:sdt>
      <w:sdtPr>
        <w:rPr>
          <w:rFonts w:asciiTheme="minorHAnsi" w:eastAsiaTheme="minorHAnsi" w:hAnsiTheme="minorHAnsi" w:cstheme="minorBidi"/>
          <w:b w:val="0"/>
          <w:sz w:val="22"/>
          <w:szCs w:val="20"/>
        </w:rPr>
        <w:id w:val="902095665"/>
        <w:docPartObj>
          <w:docPartGallery w:val="Table of Contents"/>
          <w:docPartUnique/>
        </w:docPartObj>
      </w:sdtPr>
      <w:sdtEndPr>
        <w:rPr>
          <w:noProof/>
          <w:color w:val="000000"/>
          <w:lang w:eastAsia="ja-JP"/>
        </w:rPr>
      </w:sdtEndPr>
      <w:sdtContent>
        <w:p w14:paraId="2805C8EE" w14:textId="77777777" w:rsidR="008F3CA8" w:rsidRDefault="008F3CA8" w:rsidP="008F3CA8">
          <w:pPr>
            <w:pStyle w:val="TOCHeading"/>
          </w:pPr>
          <w:r>
            <w:t>Table of Contents</w:t>
          </w:r>
          <w:bookmarkEnd w:id="0"/>
        </w:p>
        <w:p w14:paraId="07FDCE63" w14:textId="4B114D32" w:rsidR="00EF240C" w:rsidRDefault="009F3FDA" w:rsidP="00EF240C">
          <w:pPr>
            <w:pStyle w:val="TOC1"/>
            <w:rPr>
              <w:rFonts w:eastAsiaTheme="minorEastAsia" w:cstheme="minorBidi"/>
              <w:color w:val="auto"/>
              <w:szCs w:val="22"/>
              <w:lang w:eastAsia="en-US"/>
            </w:rPr>
          </w:pPr>
          <w:r>
            <w:fldChar w:fldCharType="begin"/>
          </w:r>
          <w:r>
            <w:instrText xml:space="preserve"> TOC \o "2-2" \h \z \t "Heading 1,1,Heading 1 for Lists,1,Appendix Heading,1,Heading 1-No Numbering,1" </w:instrText>
          </w:r>
          <w:r>
            <w:fldChar w:fldCharType="separate"/>
          </w:r>
          <w:hyperlink w:anchor="_Toc157413962" w:history="1">
            <w:r w:rsidR="00EF240C" w:rsidRPr="00483B2D">
              <w:rPr>
                <w:rStyle w:val="Hyperlink"/>
              </w:rPr>
              <w:t>1.</w:t>
            </w:r>
            <w:r w:rsidR="00EF240C">
              <w:rPr>
                <w:rFonts w:eastAsiaTheme="minorEastAsia" w:cstheme="minorBidi"/>
                <w:color w:val="auto"/>
                <w:szCs w:val="22"/>
                <w:lang w:eastAsia="en-US"/>
              </w:rPr>
              <w:tab/>
            </w:r>
            <w:r w:rsidR="00EF240C" w:rsidRPr="00483B2D">
              <w:rPr>
                <w:rStyle w:val="Hyperlink"/>
              </w:rPr>
              <w:t>Summary</w:t>
            </w:r>
            <w:r w:rsidR="00EF240C">
              <w:rPr>
                <w:webHidden/>
              </w:rPr>
              <w:tab/>
            </w:r>
            <w:r w:rsidR="00EF240C">
              <w:rPr>
                <w:webHidden/>
              </w:rPr>
              <w:fldChar w:fldCharType="begin"/>
            </w:r>
            <w:r w:rsidR="00EF240C">
              <w:rPr>
                <w:webHidden/>
              </w:rPr>
              <w:instrText xml:space="preserve"> PAGEREF _Toc157413962 \h </w:instrText>
            </w:r>
            <w:r w:rsidR="00EF240C">
              <w:rPr>
                <w:webHidden/>
              </w:rPr>
            </w:r>
            <w:r w:rsidR="00EF240C">
              <w:rPr>
                <w:webHidden/>
              </w:rPr>
              <w:fldChar w:fldCharType="separate"/>
            </w:r>
            <w:r w:rsidR="00EF240C">
              <w:rPr>
                <w:webHidden/>
              </w:rPr>
              <w:t>1</w:t>
            </w:r>
            <w:r w:rsidR="00EF240C">
              <w:rPr>
                <w:webHidden/>
              </w:rPr>
              <w:fldChar w:fldCharType="end"/>
            </w:r>
          </w:hyperlink>
        </w:p>
        <w:p w14:paraId="2EE34E95" w14:textId="224B64E1" w:rsidR="00EF240C" w:rsidRDefault="00294254" w:rsidP="00EF240C">
          <w:pPr>
            <w:pStyle w:val="TOC1"/>
            <w:rPr>
              <w:rFonts w:eastAsiaTheme="minorEastAsia" w:cstheme="minorBidi"/>
              <w:color w:val="auto"/>
              <w:szCs w:val="22"/>
              <w:lang w:eastAsia="en-US"/>
            </w:rPr>
          </w:pPr>
          <w:hyperlink w:anchor="_Toc157413963" w:history="1">
            <w:r w:rsidR="00EF240C" w:rsidRPr="00483B2D">
              <w:rPr>
                <w:rStyle w:val="Hyperlink"/>
              </w:rPr>
              <w:t>2.</w:t>
            </w:r>
            <w:r w:rsidR="00EF240C">
              <w:rPr>
                <w:rFonts w:eastAsiaTheme="minorEastAsia" w:cstheme="minorBidi"/>
                <w:color w:val="auto"/>
                <w:szCs w:val="22"/>
                <w:lang w:eastAsia="en-US"/>
              </w:rPr>
              <w:tab/>
            </w:r>
            <w:r w:rsidR="00EF240C" w:rsidRPr="00483B2D">
              <w:rPr>
                <w:rStyle w:val="Hyperlink"/>
              </w:rPr>
              <w:t>Data Sources</w:t>
            </w:r>
            <w:r w:rsidR="00EF240C">
              <w:rPr>
                <w:webHidden/>
              </w:rPr>
              <w:tab/>
            </w:r>
            <w:r w:rsidR="00EF240C">
              <w:rPr>
                <w:webHidden/>
              </w:rPr>
              <w:fldChar w:fldCharType="begin"/>
            </w:r>
            <w:r w:rsidR="00EF240C">
              <w:rPr>
                <w:webHidden/>
              </w:rPr>
              <w:instrText xml:space="preserve"> PAGEREF _Toc157413963 \h </w:instrText>
            </w:r>
            <w:r w:rsidR="00EF240C">
              <w:rPr>
                <w:webHidden/>
              </w:rPr>
            </w:r>
            <w:r w:rsidR="00EF240C">
              <w:rPr>
                <w:webHidden/>
              </w:rPr>
              <w:fldChar w:fldCharType="separate"/>
            </w:r>
            <w:r w:rsidR="00EF240C">
              <w:rPr>
                <w:webHidden/>
              </w:rPr>
              <w:t>2</w:t>
            </w:r>
            <w:r w:rsidR="00EF240C">
              <w:rPr>
                <w:webHidden/>
              </w:rPr>
              <w:fldChar w:fldCharType="end"/>
            </w:r>
          </w:hyperlink>
        </w:p>
        <w:p w14:paraId="614A80D2" w14:textId="41682A8E" w:rsidR="00EF240C" w:rsidRDefault="00294254" w:rsidP="00EF240C">
          <w:pPr>
            <w:pStyle w:val="TOC1"/>
            <w:rPr>
              <w:rFonts w:eastAsiaTheme="minorEastAsia" w:cstheme="minorBidi"/>
              <w:color w:val="auto"/>
              <w:szCs w:val="22"/>
              <w:lang w:eastAsia="en-US"/>
            </w:rPr>
          </w:pPr>
          <w:hyperlink w:anchor="_Toc157413964" w:history="1">
            <w:r w:rsidR="00EF240C" w:rsidRPr="00483B2D">
              <w:rPr>
                <w:rStyle w:val="Hyperlink"/>
              </w:rPr>
              <w:t>3.</w:t>
            </w:r>
            <w:r w:rsidR="00EF240C">
              <w:rPr>
                <w:rFonts w:eastAsiaTheme="minorEastAsia" w:cstheme="minorBidi"/>
                <w:color w:val="auto"/>
                <w:szCs w:val="22"/>
                <w:lang w:eastAsia="en-US"/>
              </w:rPr>
              <w:tab/>
            </w:r>
            <w:r w:rsidR="00EF240C" w:rsidRPr="00483B2D">
              <w:rPr>
                <w:rStyle w:val="Hyperlink"/>
              </w:rPr>
              <w:t>Results</w:t>
            </w:r>
            <w:r w:rsidR="00EF240C">
              <w:rPr>
                <w:webHidden/>
              </w:rPr>
              <w:tab/>
            </w:r>
            <w:r w:rsidR="00EF240C">
              <w:rPr>
                <w:webHidden/>
              </w:rPr>
              <w:fldChar w:fldCharType="begin"/>
            </w:r>
            <w:r w:rsidR="00EF240C">
              <w:rPr>
                <w:webHidden/>
              </w:rPr>
              <w:instrText xml:space="preserve"> PAGEREF _Toc157413964 \h </w:instrText>
            </w:r>
            <w:r w:rsidR="00EF240C">
              <w:rPr>
                <w:webHidden/>
              </w:rPr>
            </w:r>
            <w:r w:rsidR="00EF240C">
              <w:rPr>
                <w:webHidden/>
              </w:rPr>
              <w:fldChar w:fldCharType="separate"/>
            </w:r>
            <w:r w:rsidR="00EF240C">
              <w:rPr>
                <w:webHidden/>
              </w:rPr>
              <w:t>3</w:t>
            </w:r>
            <w:r w:rsidR="00EF240C">
              <w:rPr>
                <w:webHidden/>
              </w:rPr>
              <w:fldChar w:fldCharType="end"/>
            </w:r>
          </w:hyperlink>
        </w:p>
        <w:p w14:paraId="023CD834" w14:textId="041403D6" w:rsidR="00EF240C" w:rsidRDefault="00294254" w:rsidP="00EF240C">
          <w:pPr>
            <w:pStyle w:val="TOC2"/>
            <w:rPr>
              <w:rFonts w:eastAsiaTheme="minorEastAsia" w:cstheme="minorBidi"/>
              <w:color w:val="auto"/>
              <w:szCs w:val="22"/>
              <w:lang w:eastAsia="en-US"/>
            </w:rPr>
          </w:pPr>
          <w:hyperlink w:anchor="_Toc157413965" w:history="1">
            <w:r w:rsidR="00EF240C" w:rsidRPr="00483B2D">
              <w:rPr>
                <w:rStyle w:val="Hyperlink"/>
              </w:rPr>
              <w:t>Conditions of Participation</w:t>
            </w:r>
            <w:r w:rsidR="00EF240C">
              <w:rPr>
                <w:webHidden/>
              </w:rPr>
              <w:tab/>
            </w:r>
            <w:r w:rsidR="00EF240C">
              <w:rPr>
                <w:webHidden/>
              </w:rPr>
              <w:fldChar w:fldCharType="begin"/>
            </w:r>
            <w:r w:rsidR="00EF240C">
              <w:rPr>
                <w:webHidden/>
              </w:rPr>
              <w:instrText xml:space="preserve"> PAGEREF _Toc157413965 \h </w:instrText>
            </w:r>
            <w:r w:rsidR="00EF240C">
              <w:rPr>
                <w:webHidden/>
              </w:rPr>
            </w:r>
            <w:r w:rsidR="00EF240C">
              <w:rPr>
                <w:webHidden/>
              </w:rPr>
              <w:fldChar w:fldCharType="separate"/>
            </w:r>
            <w:r w:rsidR="00EF240C">
              <w:rPr>
                <w:webHidden/>
              </w:rPr>
              <w:t>3</w:t>
            </w:r>
            <w:r w:rsidR="00EF240C">
              <w:rPr>
                <w:webHidden/>
              </w:rPr>
              <w:fldChar w:fldCharType="end"/>
            </w:r>
          </w:hyperlink>
        </w:p>
        <w:p w14:paraId="733EE32F" w14:textId="127952AC" w:rsidR="00EF240C" w:rsidRDefault="00294254" w:rsidP="00EF240C">
          <w:pPr>
            <w:pStyle w:val="TOC2"/>
            <w:rPr>
              <w:rFonts w:eastAsiaTheme="minorEastAsia" w:cstheme="minorBidi"/>
              <w:color w:val="auto"/>
              <w:szCs w:val="22"/>
              <w:lang w:eastAsia="en-US"/>
            </w:rPr>
          </w:pPr>
          <w:hyperlink w:anchor="_Toc157413966" w:history="1">
            <w:r w:rsidR="00EF240C" w:rsidRPr="00483B2D">
              <w:rPr>
                <w:rStyle w:val="Hyperlink"/>
              </w:rPr>
              <w:t>Population Characteristics</w:t>
            </w:r>
            <w:r w:rsidR="00EF240C">
              <w:rPr>
                <w:webHidden/>
              </w:rPr>
              <w:tab/>
            </w:r>
            <w:r w:rsidR="00EF240C">
              <w:rPr>
                <w:webHidden/>
              </w:rPr>
              <w:fldChar w:fldCharType="begin"/>
            </w:r>
            <w:r w:rsidR="00EF240C">
              <w:rPr>
                <w:webHidden/>
              </w:rPr>
              <w:instrText xml:space="preserve"> PAGEREF _Toc157413966 \h </w:instrText>
            </w:r>
            <w:r w:rsidR="00EF240C">
              <w:rPr>
                <w:webHidden/>
              </w:rPr>
            </w:r>
            <w:r w:rsidR="00EF240C">
              <w:rPr>
                <w:webHidden/>
              </w:rPr>
              <w:fldChar w:fldCharType="separate"/>
            </w:r>
            <w:r w:rsidR="00EF240C">
              <w:rPr>
                <w:webHidden/>
              </w:rPr>
              <w:t>4</w:t>
            </w:r>
            <w:r w:rsidR="00EF240C">
              <w:rPr>
                <w:webHidden/>
              </w:rPr>
              <w:fldChar w:fldCharType="end"/>
            </w:r>
          </w:hyperlink>
        </w:p>
        <w:p w14:paraId="4E9E66EE" w14:textId="7C1CCF1F" w:rsidR="00EF240C" w:rsidRDefault="00294254" w:rsidP="00EF240C">
          <w:pPr>
            <w:pStyle w:val="TOC2"/>
            <w:rPr>
              <w:rFonts w:eastAsiaTheme="minorEastAsia" w:cstheme="minorBidi"/>
              <w:color w:val="auto"/>
              <w:szCs w:val="22"/>
              <w:lang w:eastAsia="en-US"/>
            </w:rPr>
          </w:pPr>
          <w:hyperlink w:anchor="_Toc157413967" w:history="1">
            <w:r w:rsidR="00EF240C" w:rsidRPr="00483B2D">
              <w:rPr>
                <w:rStyle w:val="Hyperlink"/>
              </w:rPr>
              <w:t>Provider Performance</w:t>
            </w:r>
            <w:r w:rsidR="00EF240C">
              <w:rPr>
                <w:webHidden/>
              </w:rPr>
              <w:tab/>
            </w:r>
            <w:r w:rsidR="00EF240C">
              <w:rPr>
                <w:webHidden/>
              </w:rPr>
              <w:fldChar w:fldCharType="begin"/>
            </w:r>
            <w:r w:rsidR="00EF240C">
              <w:rPr>
                <w:webHidden/>
              </w:rPr>
              <w:instrText xml:space="preserve"> PAGEREF _Toc157413967 \h </w:instrText>
            </w:r>
            <w:r w:rsidR="00EF240C">
              <w:rPr>
                <w:webHidden/>
              </w:rPr>
            </w:r>
            <w:r w:rsidR="00EF240C">
              <w:rPr>
                <w:webHidden/>
              </w:rPr>
              <w:fldChar w:fldCharType="separate"/>
            </w:r>
            <w:r w:rsidR="00EF240C">
              <w:rPr>
                <w:webHidden/>
              </w:rPr>
              <w:t>7</w:t>
            </w:r>
            <w:r w:rsidR="00EF240C">
              <w:rPr>
                <w:webHidden/>
              </w:rPr>
              <w:fldChar w:fldCharType="end"/>
            </w:r>
          </w:hyperlink>
        </w:p>
        <w:p w14:paraId="2DDF95C0" w14:textId="7E35628D" w:rsidR="00EF240C" w:rsidRDefault="00294254" w:rsidP="00EF240C">
          <w:pPr>
            <w:pStyle w:val="TOC1"/>
            <w:rPr>
              <w:rFonts w:eastAsiaTheme="minorEastAsia" w:cstheme="minorBidi"/>
              <w:color w:val="auto"/>
              <w:szCs w:val="22"/>
              <w:lang w:eastAsia="en-US"/>
            </w:rPr>
          </w:pPr>
          <w:hyperlink w:anchor="_Toc157413968" w:history="1">
            <w:r w:rsidR="00EF240C" w:rsidRPr="00483B2D">
              <w:rPr>
                <w:rStyle w:val="Hyperlink"/>
              </w:rPr>
              <w:t>4.</w:t>
            </w:r>
            <w:r w:rsidR="00EF240C">
              <w:rPr>
                <w:rFonts w:eastAsiaTheme="minorEastAsia" w:cstheme="minorBidi"/>
                <w:color w:val="auto"/>
                <w:szCs w:val="22"/>
                <w:lang w:eastAsia="en-US"/>
              </w:rPr>
              <w:tab/>
            </w:r>
            <w:r w:rsidR="00EF240C" w:rsidRPr="00483B2D">
              <w:rPr>
                <w:rStyle w:val="Hyperlink"/>
              </w:rPr>
              <w:t>Limitations</w:t>
            </w:r>
            <w:r w:rsidR="00EF240C">
              <w:rPr>
                <w:webHidden/>
              </w:rPr>
              <w:tab/>
            </w:r>
            <w:r w:rsidR="00EF240C">
              <w:rPr>
                <w:webHidden/>
              </w:rPr>
              <w:fldChar w:fldCharType="begin"/>
            </w:r>
            <w:r w:rsidR="00EF240C">
              <w:rPr>
                <w:webHidden/>
              </w:rPr>
              <w:instrText xml:space="preserve"> PAGEREF _Toc157413968 \h </w:instrText>
            </w:r>
            <w:r w:rsidR="00EF240C">
              <w:rPr>
                <w:webHidden/>
              </w:rPr>
            </w:r>
            <w:r w:rsidR="00EF240C">
              <w:rPr>
                <w:webHidden/>
              </w:rPr>
              <w:fldChar w:fldCharType="separate"/>
            </w:r>
            <w:r w:rsidR="00EF240C">
              <w:rPr>
                <w:webHidden/>
              </w:rPr>
              <w:t>15</w:t>
            </w:r>
            <w:r w:rsidR="00EF240C">
              <w:rPr>
                <w:webHidden/>
              </w:rPr>
              <w:fldChar w:fldCharType="end"/>
            </w:r>
          </w:hyperlink>
        </w:p>
        <w:p w14:paraId="1A5EDA8E" w14:textId="2041D4EC" w:rsidR="00EF240C" w:rsidRDefault="00294254" w:rsidP="00EF240C">
          <w:pPr>
            <w:pStyle w:val="TOC1"/>
            <w:rPr>
              <w:rFonts w:eastAsiaTheme="minorEastAsia" w:cstheme="minorBidi"/>
              <w:color w:val="auto"/>
              <w:szCs w:val="22"/>
              <w:lang w:eastAsia="en-US"/>
            </w:rPr>
          </w:pPr>
          <w:hyperlink w:anchor="_Toc157413975" w:history="1">
            <w:r w:rsidR="00EF240C" w:rsidRPr="00483B2D">
              <w:rPr>
                <w:rStyle w:val="Hyperlink"/>
              </w:rPr>
              <w:t>5.</w:t>
            </w:r>
            <w:r w:rsidR="00EF240C">
              <w:rPr>
                <w:rFonts w:eastAsiaTheme="minorEastAsia" w:cstheme="minorBidi"/>
                <w:color w:val="auto"/>
                <w:szCs w:val="22"/>
                <w:lang w:eastAsia="en-US"/>
              </w:rPr>
              <w:tab/>
            </w:r>
            <w:r w:rsidR="00EF240C" w:rsidRPr="00483B2D">
              <w:rPr>
                <w:rStyle w:val="Hyperlink"/>
              </w:rPr>
              <w:t>Conclusion</w:t>
            </w:r>
            <w:r w:rsidR="00EF240C">
              <w:rPr>
                <w:webHidden/>
              </w:rPr>
              <w:tab/>
            </w:r>
            <w:r w:rsidR="00EF240C">
              <w:rPr>
                <w:webHidden/>
              </w:rPr>
              <w:fldChar w:fldCharType="begin"/>
            </w:r>
            <w:r w:rsidR="00EF240C">
              <w:rPr>
                <w:webHidden/>
              </w:rPr>
              <w:instrText xml:space="preserve"> PAGEREF _Toc157413975 \h </w:instrText>
            </w:r>
            <w:r w:rsidR="00EF240C">
              <w:rPr>
                <w:webHidden/>
              </w:rPr>
            </w:r>
            <w:r w:rsidR="00EF240C">
              <w:rPr>
                <w:webHidden/>
              </w:rPr>
              <w:fldChar w:fldCharType="separate"/>
            </w:r>
            <w:r w:rsidR="00EF240C">
              <w:rPr>
                <w:webHidden/>
              </w:rPr>
              <w:t>17</w:t>
            </w:r>
            <w:r w:rsidR="00EF240C">
              <w:rPr>
                <w:webHidden/>
              </w:rPr>
              <w:fldChar w:fldCharType="end"/>
            </w:r>
          </w:hyperlink>
        </w:p>
        <w:p w14:paraId="43F34C75" w14:textId="7433A71A" w:rsidR="00EF240C" w:rsidRDefault="00294254" w:rsidP="00EF240C">
          <w:pPr>
            <w:pStyle w:val="TOC1"/>
            <w:rPr>
              <w:rFonts w:eastAsiaTheme="minorEastAsia" w:cstheme="minorBidi"/>
              <w:color w:val="auto"/>
              <w:szCs w:val="22"/>
              <w:lang w:eastAsia="en-US"/>
            </w:rPr>
          </w:pPr>
          <w:hyperlink w:anchor="_Toc157413976" w:history="1">
            <w:r w:rsidR="00EF240C" w:rsidRPr="00483B2D">
              <w:rPr>
                <w:rStyle w:val="Hyperlink"/>
              </w:rPr>
              <w:t>Appendix A: List of Acronyms</w:t>
            </w:r>
            <w:r w:rsidR="00EF240C">
              <w:rPr>
                <w:webHidden/>
              </w:rPr>
              <w:tab/>
            </w:r>
            <w:r w:rsidR="00EF240C">
              <w:rPr>
                <w:webHidden/>
              </w:rPr>
              <w:fldChar w:fldCharType="begin"/>
            </w:r>
            <w:r w:rsidR="00EF240C">
              <w:rPr>
                <w:webHidden/>
              </w:rPr>
              <w:instrText xml:space="preserve"> PAGEREF _Toc157413976 \h </w:instrText>
            </w:r>
            <w:r w:rsidR="00EF240C">
              <w:rPr>
                <w:webHidden/>
              </w:rPr>
            </w:r>
            <w:r w:rsidR="00EF240C">
              <w:rPr>
                <w:webHidden/>
              </w:rPr>
              <w:fldChar w:fldCharType="separate"/>
            </w:r>
            <w:r w:rsidR="00EF240C">
              <w:rPr>
                <w:webHidden/>
              </w:rPr>
              <w:t>18</w:t>
            </w:r>
            <w:r w:rsidR="00EF240C">
              <w:rPr>
                <w:webHidden/>
              </w:rPr>
              <w:fldChar w:fldCharType="end"/>
            </w:r>
          </w:hyperlink>
        </w:p>
        <w:p w14:paraId="67C8FA4B" w14:textId="5FD39049" w:rsidR="00EF240C" w:rsidRDefault="00294254" w:rsidP="00EF240C">
          <w:pPr>
            <w:pStyle w:val="TOC1"/>
            <w:rPr>
              <w:rFonts w:eastAsiaTheme="minorEastAsia" w:cstheme="minorBidi"/>
              <w:color w:val="auto"/>
              <w:szCs w:val="22"/>
              <w:lang w:eastAsia="en-US"/>
            </w:rPr>
          </w:pPr>
          <w:hyperlink w:anchor="_Toc157413977" w:history="1">
            <w:r w:rsidR="00EF240C" w:rsidRPr="00483B2D">
              <w:rPr>
                <w:rStyle w:val="Hyperlink"/>
              </w:rPr>
              <w:t>Appendix B: Population Data</w:t>
            </w:r>
            <w:r w:rsidR="00EF240C">
              <w:rPr>
                <w:webHidden/>
              </w:rPr>
              <w:tab/>
            </w:r>
            <w:r w:rsidR="00EF240C">
              <w:rPr>
                <w:webHidden/>
              </w:rPr>
              <w:fldChar w:fldCharType="begin"/>
            </w:r>
            <w:r w:rsidR="00EF240C">
              <w:rPr>
                <w:webHidden/>
              </w:rPr>
              <w:instrText xml:space="preserve"> PAGEREF _Toc157413977 \h </w:instrText>
            </w:r>
            <w:r w:rsidR="00EF240C">
              <w:rPr>
                <w:webHidden/>
              </w:rPr>
            </w:r>
            <w:r w:rsidR="00EF240C">
              <w:rPr>
                <w:webHidden/>
              </w:rPr>
              <w:fldChar w:fldCharType="separate"/>
            </w:r>
            <w:r w:rsidR="00EF240C">
              <w:rPr>
                <w:webHidden/>
              </w:rPr>
              <w:t>21</w:t>
            </w:r>
            <w:r w:rsidR="00EF240C">
              <w:rPr>
                <w:webHidden/>
              </w:rPr>
              <w:fldChar w:fldCharType="end"/>
            </w:r>
          </w:hyperlink>
        </w:p>
        <w:p w14:paraId="5DABD4EF" w14:textId="6722CE4D" w:rsidR="00EF240C" w:rsidRDefault="00294254" w:rsidP="00EF240C">
          <w:pPr>
            <w:pStyle w:val="TOC1"/>
            <w:rPr>
              <w:rFonts w:eastAsiaTheme="minorEastAsia" w:cstheme="minorBidi"/>
              <w:color w:val="auto"/>
              <w:szCs w:val="22"/>
              <w:lang w:eastAsia="en-US"/>
            </w:rPr>
          </w:pPr>
          <w:hyperlink w:anchor="_Toc157413986" w:history="1">
            <w:r w:rsidR="00EF240C" w:rsidRPr="00483B2D">
              <w:rPr>
                <w:rStyle w:val="Hyperlink"/>
              </w:rPr>
              <w:t>Appendix C: Provider-Reported Performance Data by Quality Strategy Goal</w:t>
            </w:r>
            <w:r w:rsidR="00EF240C">
              <w:rPr>
                <w:webHidden/>
              </w:rPr>
              <w:tab/>
            </w:r>
            <w:r w:rsidR="00EF240C">
              <w:rPr>
                <w:webHidden/>
              </w:rPr>
              <w:fldChar w:fldCharType="begin"/>
            </w:r>
            <w:r w:rsidR="00EF240C">
              <w:rPr>
                <w:webHidden/>
              </w:rPr>
              <w:instrText xml:space="preserve"> PAGEREF _Toc157413986 \h </w:instrText>
            </w:r>
            <w:r w:rsidR="00EF240C">
              <w:rPr>
                <w:webHidden/>
              </w:rPr>
            </w:r>
            <w:r w:rsidR="00EF240C">
              <w:rPr>
                <w:webHidden/>
              </w:rPr>
              <w:fldChar w:fldCharType="separate"/>
            </w:r>
            <w:r w:rsidR="00EF240C">
              <w:rPr>
                <w:webHidden/>
              </w:rPr>
              <w:t>26</w:t>
            </w:r>
            <w:r w:rsidR="00EF240C">
              <w:rPr>
                <w:webHidden/>
              </w:rPr>
              <w:fldChar w:fldCharType="end"/>
            </w:r>
          </w:hyperlink>
        </w:p>
        <w:p w14:paraId="7DF539D7" w14:textId="79E40459" w:rsidR="00EF240C" w:rsidRDefault="00294254" w:rsidP="00EF240C">
          <w:pPr>
            <w:pStyle w:val="TOC1"/>
            <w:rPr>
              <w:rFonts w:eastAsiaTheme="minorEastAsia" w:cstheme="minorBidi"/>
              <w:color w:val="auto"/>
              <w:szCs w:val="22"/>
              <w:lang w:eastAsia="en-US"/>
            </w:rPr>
          </w:pPr>
          <w:hyperlink w:anchor="_Toc157413990" w:history="1">
            <w:r w:rsidR="00EF240C" w:rsidRPr="00483B2D">
              <w:rPr>
                <w:rStyle w:val="Hyperlink"/>
              </w:rPr>
              <w:t>Appendix D: DPP Quality Objective Scorecard – October 2023</w:t>
            </w:r>
            <w:r w:rsidR="00EF240C">
              <w:rPr>
                <w:webHidden/>
              </w:rPr>
              <w:tab/>
            </w:r>
            <w:r w:rsidR="00EF240C">
              <w:rPr>
                <w:webHidden/>
              </w:rPr>
              <w:fldChar w:fldCharType="begin"/>
            </w:r>
            <w:r w:rsidR="00EF240C">
              <w:rPr>
                <w:webHidden/>
              </w:rPr>
              <w:instrText xml:space="preserve"> PAGEREF _Toc157413990 \h </w:instrText>
            </w:r>
            <w:r w:rsidR="00EF240C">
              <w:rPr>
                <w:webHidden/>
              </w:rPr>
            </w:r>
            <w:r w:rsidR="00EF240C">
              <w:rPr>
                <w:webHidden/>
              </w:rPr>
              <w:fldChar w:fldCharType="separate"/>
            </w:r>
            <w:r w:rsidR="00EF240C">
              <w:rPr>
                <w:webHidden/>
              </w:rPr>
              <w:t>29</w:t>
            </w:r>
            <w:r w:rsidR="00EF240C">
              <w:rPr>
                <w:webHidden/>
              </w:rPr>
              <w:fldChar w:fldCharType="end"/>
            </w:r>
          </w:hyperlink>
        </w:p>
        <w:p w14:paraId="16455979" w14:textId="77777777" w:rsidR="008F3CA8" w:rsidRDefault="009F3FDA" w:rsidP="008F3CA8">
          <w:pPr>
            <w:rPr>
              <w:rFonts w:eastAsia="Times New Roman" w:cs="Times New Roman"/>
              <w:b/>
              <w:noProof/>
              <w:color w:val="000000"/>
              <w:szCs w:val="24"/>
              <w:lang w:eastAsia="ja-JP"/>
            </w:rPr>
          </w:pPr>
          <w:r>
            <w:rPr>
              <w:rFonts w:eastAsia="Times New Roman" w:cs="Times New Roman"/>
              <w:b/>
              <w:noProof/>
              <w:color w:val="000000"/>
              <w:szCs w:val="24"/>
              <w:lang w:eastAsia="ja-JP"/>
            </w:rPr>
            <w:fldChar w:fldCharType="end"/>
          </w:r>
        </w:p>
      </w:sdtContent>
    </w:sdt>
    <w:p w14:paraId="206706DE" w14:textId="77777777" w:rsidR="00EF240C" w:rsidRPr="00EF240C" w:rsidRDefault="00EF240C" w:rsidP="00EF240C"/>
    <w:p w14:paraId="4A534F5D" w14:textId="77777777" w:rsidR="00EF240C" w:rsidRPr="00EF240C" w:rsidRDefault="00EF240C" w:rsidP="00EF240C"/>
    <w:p w14:paraId="221A346C" w14:textId="77777777" w:rsidR="00EF240C" w:rsidRDefault="00EF240C" w:rsidP="00EF240C">
      <w:pPr>
        <w:rPr>
          <w:rFonts w:eastAsia="Times New Roman" w:cs="Times New Roman"/>
          <w:b/>
          <w:noProof/>
          <w:color w:val="000000"/>
          <w:szCs w:val="24"/>
          <w:lang w:eastAsia="ja-JP"/>
        </w:rPr>
      </w:pPr>
    </w:p>
    <w:p w14:paraId="06AB78FE" w14:textId="49864593" w:rsidR="00EF240C" w:rsidRDefault="00EF240C" w:rsidP="00EF240C">
      <w:pPr>
        <w:tabs>
          <w:tab w:val="left" w:pos="8305"/>
        </w:tabs>
        <w:rPr>
          <w:rFonts w:eastAsia="Times New Roman" w:cs="Times New Roman"/>
          <w:b/>
          <w:noProof/>
          <w:color w:val="000000"/>
          <w:szCs w:val="24"/>
          <w:lang w:eastAsia="ja-JP"/>
        </w:rPr>
      </w:pPr>
      <w:r>
        <w:rPr>
          <w:rFonts w:eastAsia="Times New Roman" w:cs="Times New Roman"/>
          <w:b/>
          <w:noProof/>
          <w:color w:val="000000"/>
          <w:szCs w:val="24"/>
          <w:lang w:eastAsia="ja-JP"/>
        </w:rPr>
        <w:tab/>
      </w:r>
    </w:p>
    <w:p w14:paraId="02D6287E" w14:textId="4CEA09C9" w:rsidR="00EF240C" w:rsidRPr="00EF240C" w:rsidRDefault="00EF240C" w:rsidP="00EF240C">
      <w:pPr>
        <w:tabs>
          <w:tab w:val="left" w:pos="8305"/>
        </w:tabs>
        <w:rPr>
          <w:lang w:eastAsia="ja-JP"/>
        </w:rPr>
        <w:sectPr w:rsidR="00EF240C" w:rsidRPr="00EF240C" w:rsidSect="00463FE8">
          <w:footerReference w:type="default" r:id="rId14"/>
          <w:pgSz w:w="12240" w:h="15840"/>
          <w:pgMar w:top="1800" w:right="1440" w:bottom="1440" w:left="1440" w:header="720" w:footer="720" w:gutter="0"/>
          <w:pgNumType w:fmt="lowerRoman" w:start="2"/>
          <w:cols w:space="720"/>
        </w:sectPr>
      </w:pPr>
      <w:r>
        <w:rPr>
          <w:lang w:eastAsia="ja-JP"/>
        </w:rPr>
        <w:tab/>
      </w:r>
    </w:p>
    <w:p w14:paraId="3D89645D" w14:textId="5A52F340" w:rsidR="00D050CA" w:rsidRDefault="00D050CA" w:rsidP="00574738">
      <w:pPr>
        <w:pStyle w:val="Heading1"/>
        <w:numPr>
          <w:ilvl w:val="0"/>
          <w:numId w:val="17"/>
        </w:numPr>
        <w:tabs>
          <w:tab w:val="left" w:pos="360"/>
        </w:tabs>
        <w:ind w:hanging="900"/>
      </w:pPr>
      <w:bookmarkStart w:id="1" w:name="_Toc116480162"/>
      <w:bookmarkStart w:id="2" w:name="_Toc117582071"/>
      <w:bookmarkStart w:id="3" w:name="_Toc117850343"/>
      <w:bookmarkStart w:id="4" w:name="_Toc118189780"/>
      <w:bookmarkStart w:id="5" w:name="_Toc118297801"/>
      <w:bookmarkStart w:id="6" w:name="_Toc118297949"/>
      <w:bookmarkStart w:id="7" w:name="_Toc116480163"/>
      <w:bookmarkStart w:id="8" w:name="_Toc117582072"/>
      <w:bookmarkStart w:id="9" w:name="_Toc117850344"/>
      <w:bookmarkStart w:id="10" w:name="_Toc118189781"/>
      <w:bookmarkStart w:id="11" w:name="_Toc118297802"/>
      <w:bookmarkStart w:id="12" w:name="_Toc118297950"/>
      <w:bookmarkStart w:id="13" w:name="_Toc116480164"/>
      <w:bookmarkStart w:id="14" w:name="_Toc117582073"/>
      <w:bookmarkStart w:id="15" w:name="_Toc117850345"/>
      <w:bookmarkStart w:id="16" w:name="_Toc118189782"/>
      <w:bookmarkStart w:id="17" w:name="_Toc118297803"/>
      <w:bookmarkStart w:id="18" w:name="_Toc118297951"/>
      <w:bookmarkStart w:id="19" w:name="_Toc116480165"/>
      <w:bookmarkStart w:id="20" w:name="_Toc117582074"/>
      <w:bookmarkStart w:id="21" w:name="_Toc117850346"/>
      <w:bookmarkStart w:id="22" w:name="_Toc118189783"/>
      <w:bookmarkStart w:id="23" w:name="_Toc118297804"/>
      <w:bookmarkStart w:id="24" w:name="_Toc118297952"/>
      <w:bookmarkStart w:id="25" w:name="_Toc93922221"/>
      <w:bookmarkStart w:id="26" w:name="_Toc93934463"/>
      <w:bookmarkStart w:id="27" w:name="_Toc93934487"/>
      <w:bookmarkStart w:id="28" w:name="_Toc93937970"/>
      <w:bookmarkStart w:id="29" w:name="_Toc93938007"/>
      <w:bookmarkStart w:id="30" w:name="_Toc117582077"/>
      <w:bookmarkStart w:id="31" w:name="_Toc117850349"/>
      <w:bookmarkStart w:id="32" w:name="_Toc118189786"/>
      <w:bookmarkStart w:id="33" w:name="_Toc118297807"/>
      <w:bookmarkStart w:id="34" w:name="_Toc118297955"/>
      <w:bookmarkStart w:id="35" w:name="_Toc117582078"/>
      <w:bookmarkStart w:id="36" w:name="_Toc117850350"/>
      <w:bookmarkStart w:id="37" w:name="_Toc118189787"/>
      <w:bookmarkStart w:id="38" w:name="_Toc118297808"/>
      <w:bookmarkStart w:id="39" w:name="_Toc118297956"/>
      <w:bookmarkStart w:id="40" w:name="_Toc117582079"/>
      <w:bookmarkStart w:id="41" w:name="_Toc117850351"/>
      <w:bookmarkStart w:id="42" w:name="_Toc118189788"/>
      <w:bookmarkStart w:id="43" w:name="_Toc118297809"/>
      <w:bookmarkStart w:id="44" w:name="_Toc118297957"/>
      <w:bookmarkStart w:id="45" w:name="_Toc117582080"/>
      <w:bookmarkStart w:id="46" w:name="_Toc117850352"/>
      <w:bookmarkStart w:id="47" w:name="_Toc118189789"/>
      <w:bookmarkStart w:id="48" w:name="_Toc118297810"/>
      <w:bookmarkStart w:id="49" w:name="_Toc118297958"/>
      <w:bookmarkStart w:id="50" w:name="_Toc117582081"/>
      <w:bookmarkStart w:id="51" w:name="_Toc117850353"/>
      <w:bookmarkStart w:id="52" w:name="_Toc118189790"/>
      <w:bookmarkStart w:id="53" w:name="_Toc118297811"/>
      <w:bookmarkStart w:id="54" w:name="_Toc118297959"/>
      <w:bookmarkStart w:id="55" w:name="_Toc117582082"/>
      <w:bookmarkStart w:id="56" w:name="_Toc117850354"/>
      <w:bookmarkStart w:id="57" w:name="_Toc118189791"/>
      <w:bookmarkStart w:id="58" w:name="_Toc118297812"/>
      <w:bookmarkStart w:id="59" w:name="_Toc118297960"/>
      <w:bookmarkStart w:id="60" w:name="_Toc117582083"/>
      <w:bookmarkStart w:id="61" w:name="_Toc117850355"/>
      <w:bookmarkStart w:id="62" w:name="_Toc118189792"/>
      <w:bookmarkStart w:id="63" w:name="_Toc118297813"/>
      <w:bookmarkStart w:id="64" w:name="_Toc118297961"/>
      <w:bookmarkStart w:id="65" w:name="_Toc156487079"/>
      <w:bookmarkStart w:id="66" w:name="_Toc157413962"/>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r>
        <w:lastRenderedPageBreak/>
        <w:t>Summary</w:t>
      </w:r>
      <w:bookmarkEnd w:id="65"/>
      <w:bookmarkEnd w:id="66"/>
    </w:p>
    <w:p w14:paraId="54944086" w14:textId="2B31C848" w:rsidR="00C41F0E" w:rsidRPr="00C41F0E" w:rsidRDefault="00C41F0E" w:rsidP="00EC13D8">
      <w:pPr>
        <w:pStyle w:val="PText"/>
        <w:spacing w:after="120"/>
      </w:pPr>
      <w:r w:rsidRPr="00C41F0E">
        <w:t xml:space="preserve">In state fiscal year (SFY) 2022, </w:t>
      </w:r>
      <w:r w:rsidR="0044162B">
        <w:t>the Texas Health and Human Services Commission (</w:t>
      </w:r>
      <w:r w:rsidRPr="00C41F0E">
        <w:t>HHSC</w:t>
      </w:r>
      <w:r w:rsidR="0044162B">
        <w:t>)</w:t>
      </w:r>
      <w:r w:rsidRPr="00C41F0E">
        <w:t xml:space="preserve"> received approval for four new Medicaid directed payment programs (DPPs.)</w:t>
      </w:r>
    </w:p>
    <w:p w14:paraId="5E83274E" w14:textId="77777777" w:rsidR="000D77EC" w:rsidRDefault="00C41F0E" w:rsidP="00574738">
      <w:pPr>
        <w:pStyle w:val="PText"/>
        <w:numPr>
          <w:ilvl w:val="0"/>
          <w:numId w:val="21"/>
        </w:numPr>
        <w:spacing w:after="0"/>
      </w:pPr>
      <w:r w:rsidRPr="00C41F0E">
        <w:t>Comprehensive Hospital Increase Reimbursement Program (CHIRP)</w:t>
      </w:r>
    </w:p>
    <w:p w14:paraId="7F5A4CB1" w14:textId="77777777" w:rsidR="000D77EC" w:rsidRDefault="00C41F0E" w:rsidP="00574738">
      <w:pPr>
        <w:pStyle w:val="PText"/>
        <w:numPr>
          <w:ilvl w:val="0"/>
          <w:numId w:val="21"/>
        </w:numPr>
        <w:spacing w:after="0"/>
      </w:pPr>
      <w:r w:rsidRPr="00C41F0E">
        <w:t>Texas Incentive for Physicians and Professional Services (TIPPS)</w:t>
      </w:r>
    </w:p>
    <w:p w14:paraId="3574FC2E" w14:textId="77777777" w:rsidR="000D77EC" w:rsidRDefault="00C41F0E" w:rsidP="00574738">
      <w:pPr>
        <w:pStyle w:val="PText"/>
        <w:numPr>
          <w:ilvl w:val="0"/>
          <w:numId w:val="21"/>
        </w:numPr>
        <w:spacing w:after="0"/>
      </w:pPr>
      <w:r w:rsidRPr="00C41F0E">
        <w:t>Directed Payment Program for Behavioral Health Services (DPP BHS)</w:t>
      </w:r>
    </w:p>
    <w:p w14:paraId="1E910C46" w14:textId="0D98AEC2" w:rsidR="00C41F0E" w:rsidRPr="00C41F0E" w:rsidRDefault="00C41F0E" w:rsidP="00574738">
      <w:pPr>
        <w:pStyle w:val="PText"/>
        <w:numPr>
          <w:ilvl w:val="0"/>
          <w:numId w:val="21"/>
        </w:numPr>
        <w:spacing w:after="0"/>
      </w:pPr>
      <w:r w:rsidRPr="00C41F0E">
        <w:t>Rural Access to Primary and Preventive Services (RAPPS)</w:t>
      </w:r>
    </w:p>
    <w:p w14:paraId="7187608F" w14:textId="1608F132" w:rsidR="00B46FEE" w:rsidRDefault="00075796" w:rsidP="004F398D">
      <w:pPr>
        <w:pStyle w:val="PText"/>
        <w:spacing w:before="120"/>
      </w:pPr>
      <w:r w:rsidRPr="00EA0B3C">
        <w:t>The DPPs were designed to help advance the goals</w:t>
      </w:r>
      <w:r>
        <w:t xml:space="preserve"> and objectives of</w:t>
      </w:r>
      <w:r w:rsidRPr="00EA0B3C">
        <w:t xml:space="preserve"> </w:t>
      </w:r>
      <w:r w:rsidRPr="00772147">
        <w:t>the</w:t>
      </w:r>
      <w:r w:rsidRPr="004A7ECC">
        <w:rPr>
          <w:i/>
          <w:iCs/>
        </w:rPr>
        <w:t xml:space="preserve"> </w:t>
      </w:r>
      <w:r>
        <w:rPr>
          <w:i/>
          <w:iCs/>
        </w:rPr>
        <w:t>Managed Care</w:t>
      </w:r>
      <w:r w:rsidRPr="004A7ECC">
        <w:rPr>
          <w:i/>
          <w:iCs/>
        </w:rPr>
        <w:t xml:space="preserve"> Quality Strategy</w:t>
      </w:r>
      <w:r w:rsidRPr="00EA0B3C">
        <w:rPr>
          <w:rStyle w:val="FootnoteReference"/>
        </w:rPr>
        <w:footnoteReference w:id="2"/>
      </w:r>
      <w:r>
        <w:rPr>
          <w:b/>
        </w:rPr>
        <w:t xml:space="preserve">. </w:t>
      </w:r>
      <w:r w:rsidRPr="00352B52">
        <w:t>DPPs must be evaluated</w:t>
      </w:r>
      <w:r>
        <w:t xml:space="preserve"> annually</w:t>
      </w:r>
      <w:r w:rsidRPr="00352B52">
        <w:t xml:space="preserve"> to test whether the payment arrangement advances </w:t>
      </w:r>
      <w:r>
        <w:t xml:space="preserve">the </w:t>
      </w:r>
      <w:r w:rsidRPr="00352B52">
        <w:t xml:space="preserve">goals of the </w:t>
      </w:r>
      <w:r w:rsidR="00C127AF">
        <w:t xml:space="preserve">Texas </w:t>
      </w:r>
      <w:r w:rsidR="0044162B">
        <w:t xml:space="preserve">Managed Care </w:t>
      </w:r>
      <w:r w:rsidRPr="00352B52">
        <w:t>Quality Strategy.</w:t>
      </w:r>
    </w:p>
    <w:p w14:paraId="24506900" w14:textId="40AF8BA2" w:rsidR="00450E2D" w:rsidRDefault="00075796" w:rsidP="00EC13D8">
      <w:pPr>
        <w:pStyle w:val="PText"/>
        <w:spacing w:before="120"/>
      </w:pPr>
      <w:r w:rsidRPr="00C41F0E">
        <w:t xml:space="preserve">The hospitals, physician groups, rural health clinics, and behavioral health centers that participate in these four programs </w:t>
      </w:r>
      <w:r>
        <w:t>have</w:t>
      </w:r>
      <w:r w:rsidRPr="00C41F0E">
        <w:t xml:space="preserve"> </w:t>
      </w:r>
      <w:r w:rsidR="00B46FEE">
        <w:t xml:space="preserve">now </w:t>
      </w:r>
      <w:r w:rsidRPr="00C41F0E">
        <w:t xml:space="preserve">completed </w:t>
      </w:r>
      <w:r w:rsidR="00B46FEE">
        <w:t xml:space="preserve">their </w:t>
      </w:r>
      <w:r w:rsidR="00DB4CD6">
        <w:t xml:space="preserve">second </w:t>
      </w:r>
      <w:r w:rsidRPr="00C41F0E">
        <w:t>year of quality reporting</w:t>
      </w:r>
      <w:r w:rsidR="00C127AF">
        <w:t>,</w:t>
      </w:r>
      <w:r w:rsidRPr="00C41F0E">
        <w:t xml:space="preserve"> and </w:t>
      </w:r>
      <w:r w:rsidR="00DB4CD6">
        <w:t>third</w:t>
      </w:r>
      <w:r w:rsidR="00DB4CD6" w:rsidRPr="00C41F0E">
        <w:t xml:space="preserve"> </w:t>
      </w:r>
      <w:r w:rsidRPr="00C41F0E">
        <w:t>year activities are underway.</w:t>
      </w:r>
      <w:r>
        <w:t xml:space="preserve"> </w:t>
      </w:r>
    </w:p>
    <w:p w14:paraId="7B21CC30" w14:textId="656E6065" w:rsidR="00B46FEE" w:rsidRPr="003B09DD" w:rsidRDefault="00FB07B3" w:rsidP="003B09DD">
      <w:pPr>
        <w:pStyle w:val="PText"/>
        <w:spacing w:before="120" w:after="0"/>
        <w:rPr>
          <w:b/>
          <w:bCs/>
        </w:rPr>
      </w:pPr>
      <w:r>
        <w:rPr>
          <w:b/>
          <w:bCs/>
        </w:rPr>
        <w:t xml:space="preserve">Figure 1: </w:t>
      </w:r>
      <w:r w:rsidR="00EF15AF">
        <w:rPr>
          <w:b/>
          <w:bCs/>
        </w:rPr>
        <w:t>DPP Quality Objective Dashboard October 2023</w:t>
      </w:r>
      <w:r w:rsidR="006A7202">
        <w:rPr>
          <w:b/>
          <w:bCs/>
        </w:rPr>
        <w:t xml:space="preserve"> </w:t>
      </w:r>
      <w:r w:rsidR="006A7202" w:rsidRPr="006A7202">
        <w:t>(see</w:t>
      </w:r>
      <w:r w:rsidR="006A7202">
        <w:rPr>
          <w:b/>
          <w:bCs/>
        </w:rPr>
        <w:t xml:space="preserve"> </w:t>
      </w:r>
      <w:r w:rsidR="006A7202" w:rsidRPr="006A7202">
        <w:rPr>
          <w:b/>
          <w:bCs/>
        </w:rPr>
        <w:t>Appendix D</w:t>
      </w:r>
      <w:r w:rsidR="006A7202" w:rsidRPr="006A7202">
        <w:t>)</w:t>
      </w:r>
      <w:r w:rsidR="00B46FEE" w:rsidRPr="006A7202">
        <w:t xml:space="preserve"> </w:t>
      </w:r>
    </w:p>
    <w:p w14:paraId="7F5D6D49" w14:textId="123F6BAE" w:rsidR="00A067D0" w:rsidRDefault="00FB07B3" w:rsidP="00BF5EDB">
      <w:pPr>
        <w:pStyle w:val="PText"/>
        <w:spacing w:before="120" w:after="0"/>
      </w:pPr>
      <w:r>
        <w:rPr>
          <w:noProof/>
        </w:rPr>
        <w:drawing>
          <wp:inline distT="0" distB="0" distL="0" distR="0" wp14:anchorId="21BED4C2" wp14:editId="467A3659">
            <wp:extent cx="6321942" cy="1054922"/>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359110" cy="1061124"/>
                    </a:xfrm>
                    <a:prstGeom prst="rect">
                      <a:avLst/>
                    </a:prstGeom>
                  </pic:spPr>
                </pic:pic>
              </a:graphicData>
            </a:graphic>
          </wp:inline>
        </w:drawing>
      </w:r>
    </w:p>
    <w:p w14:paraId="43EE8616" w14:textId="0DACC535" w:rsidR="00407227" w:rsidRDefault="174CAB3C" w:rsidP="003B09DD">
      <w:pPr>
        <w:pStyle w:val="PText"/>
        <w:spacing w:after="240"/>
      </w:pPr>
      <w:r>
        <w:t>Th</w:t>
      </w:r>
      <w:r w:rsidR="00796C55">
        <w:t>is</w:t>
      </w:r>
      <w:r>
        <w:t xml:space="preserve"> evaluation shows the following</w:t>
      </w:r>
      <w:r w:rsidR="7839CE30">
        <w:t xml:space="preserve">: </w:t>
      </w:r>
    </w:p>
    <w:p w14:paraId="51FC512C" w14:textId="3FFFE666" w:rsidR="00C1248B" w:rsidRDefault="00744ADD" w:rsidP="008760BD">
      <w:pPr>
        <w:pStyle w:val="PText"/>
        <w:numPr>
          <w:ilvl w:val="0"/>
          <w:numId w:val="20"/>
        </w:numPr>
        <w:spacing w:after="120"/>
        <w:ind w:left="450" w:hanging="450"/>
      </w:pPr>
      <w:r>
        <w:t xml:space="preserve">The state is making </w:t>
      </w:r>
      <w:r w:rsidR="00A067D0">
        <w:t xml:space="preserve">clear </w:t>
      </w:r>
      <w:r>
        <w:t xml:space="preserve">progress in meeting </w:t>
      </w:r>
      <w:r w:rsidR="00A067D0">
        <w:t>four of the five</w:t>
      </w:r>
      <w:r>
        <w:t xml:space="preserve"> </w:t>
      </w:r>
      <w:r w:rsidR="00A067D0">
        <w:t xml:space="preserve">quality strategy </w:t>
      </w:r>
      <w:r>
        <w:t xml:space="preserve">goals </w:t>
      </w:r>
      <w:r w:rsidR="00B46FEE">
        <w:t xml:space="preserve">of the </w:t>
      </w:r>
      <w:r w:rsidR="00C127AF">
        <w:t>Texas Managed Care Quality Strategy</w:t>
      </w:r>
      <w:r w:rsidR="00B46FEE">
        <w:t xml:space="preserve"> </w:t>
      </w:r>
      <w:r w:rsidR="00A067D0">
        <w:t xml:space="preserve">and is </w:t>
      </w:r>
      <w:r w:rsidR="00B46FEE">
        <w:t>implementing</w:t>
      </w:r>
      <w:r w:rsidR="00A067D0">
        <w:t xml:space="preserve"> program changes to ensure continued progress</w:t>
      </w:r>
      <w:r>
        <w:t xml:space="preserve">. </w:t>
      </w:r>
    </w:p>
    <w:p w14:paraId="7549DDAE" w14:textId="5AA09B74" w:rsidR="00C1248B" w:rsidRPr="00C1248B" w:rsidRDefault="00C1248B" w:rsidP="008760BD">
      <w:pPr>
        <w:pStyle w:val="PText"/>
        <w:numPr>
          <w:ilvl w:val="0"/>
          <w:numId w:val="20"/>
        </w:numPr>
        <w:spacing w:after="120"/>
        <w:ind w:left="450" w:hanging="450"/>
      </w:pPr>
      <w:r>
        <w:t xml:space="preserve">Many key measures are showing improvements in the second year of the program. </w:t>
      </w:r>
      <w:r w:rsidR="00654998" w:rsidRPr="00654998">
        <w:t>Fifteen of the 24 provider</w:t>
      </w:r>
      <w:r w:rsidR="00C127AF">
        <w:t>-</w:t>
      </w:r>
      <w:r w:rsidR="00654998" w:rsidRPr="00654998">
        <w:t xml:space="preserve">reported </w:t>
      </w:r>
      <w:r w:rsidR="007D7206" w:rsidRPr="00C43C0D">
        <w:t xml:space="preserve">program-specific </w:t>
      </w:r>
      <w:r w:rsidR="00654998" w:rsidRPr="00654998">
        <w:t xml:space="preserve">evaluation </w:t>
      </w:r>
      <w:r w:rsidR="00A067D0">
        <w:t>measures</w:t>
      </w:r>
      <w:r w:rsidR="00654998" w:rsidRPr="00654998">
        <w:t xml:space="preserve"> </w:t>
      </w:r>
      <w:r w:rsidR="00A067D0">
        <w:t>improved</w:t>
      </w:r>
      <w:r w:rsidR="00796C55">
        <w:t xml:space="preserve">. </w:t>
      </w:r>
      <w:r w:rsidR="00C127AF">
        <w:t xml:space="preserve">Although there </w:t>
      </w:r>
      <w:r w:rsidR="00796C55">
        <w:t>are notable areas of concern regarding immunization measures and birth-outcomes measures</w:t>
      </w:r>
      <w:r w:rsidR="00744ADD">
        <w:t xml:space="preserve">, </w:t>
      </w:r>
      <w:r w:rsidR="00C127AF">
        <w:t xml:space="preserve">these concerns </w:t>
      </w:r>
      <w:r w:rsidR="00744ADD">
        <w:t>align with national trends.</w:t>
      </w:r>
    </w:p>
    <w:p w14:paraId="6F623935" w14:textId="0CFCA64F" w:rsidR="00744ADD" w:rsidRDefault="00C1248B" w:rsidP="008760BD">
      <w:pPr>
        <w:pStyle w:val="PText"/>
        <w:numPr>
          <w:ilvl w:val="0"/>
          <w:numId w:val="20"/>
        </w:numPr>
        <w:spacing w:after="0"/>
        <w:ind w:left="450" w:hanging="450"/>
      </w:pPr>
      <w:r>
        <w:t xml:space="preserve">Many providers are </w:t>
      </w:r>
      <w:r w:rsidR="00796C55">
        <w:t xml:space="preserve">now </w:t>
      </w:r>
      <w:r>
        <w:t>engaging in non-medical drivers of health (NMDOH) screening and follow-up planning for food, housing, and transportation needs.</w:t>
      </w:r>
      <w:r w:rsidR="00A067D0">
        <w:t xml:space="preserve"> </w:t>
      </w:r>
      <w:r>
        <w:t>There were</w:t>
      </w:r>
      <w:r w:rsidR="00A067D0">
        <w:t xml:space="preserve"> also</w:t>
      </w:r>
      <w:r w:rsidR="00ED2BCA">
        <w:t xml:space="preserve"> increases in </w:t>
      </w:r>
      <w:r>
        <w:t xml:space="preserve">care coordination planning, health information exchange, and integrated physical and behavioral health. </w:t>
      </w:r>
    </w:p>
    <w:p w14:paraId="3E80C120" w14:textId="481DDAF1" w:rsidR="00366195" w:rsidRDefault="00075796" w:rsidP="00574738">
      <w:pPr>
        <w:pStyle w:val="Heading1"/>
        <w:numPr>
          <w:ilvl w:val="0"/>
          <w:numId w:val="17"/>
        </w:numPr>
        <w:ind w:hanging="900"/>
      </w:pPr>
      <w:bookmarkStart w:id="67" w:name="_Toc156487080"/>
      <w:bookmarkStart w:id="68" w:name="_Toc157413963"/>
      <w:r>
        <w:lastRenderedPageBreak/>
        <w:t>Data Sources</w:t>
      </w:r>
      <w:bookmarkEnd w:id="67"/>
      <w:bookmarkEnd w:id="68"/>
    </w:p>
    <w:p w14:paraId="3AF84183" w14:textId="77777777" w:rsidR="00577F46" w:rsidRDefault="002E0355" w:rsidP="00577F46">
      <w:pPr>
        <w:pStyle w:val="BodyText"/>
      </w:pPr>
      <w:r>
        <w:t>The dat</w:t>
      </w:r>
      <w:r w:rsidR="00AE2D6A">
        <w:t>a</w:t>
      </w:r>
      <w:r>
        <w:t xml:space="preserve"> for this evaluation </w:t>
      </w:r>
      <w:r w:rsidR="00AE2D6A">
        <w:t>comes from</w:t>
      </w:r>
      <w:r w:rsidR="00E75112">
        <w:t xml:space="preserve"> </w:t>
      </w:r>
      <w:r w:rsidR="00AE2D6A">
        <w:t xml:space="preserve">DPP </w:t>
      </w:r>
      <w:r w:rsidR="00E75112">
        <w:t>participating providers</w:t>
      </w:r>
      <w:r>
        <w:t xml:space="preserve"> </w:t>
      </w:r>
      <w:r w:rsidR="00E75112">
        <w:t xml:space="preserve">and the Texas External Quality Review Organization (EQRO). </w:t>
      </w:r>
    </w:p>
    <w:p w14:paraId="401222C4" w14:textId="200B1CAB" w:rsidR="00577F46" w:rsidRDefault="00577F46" w:rsidP="00577F46">
      <w:pPr>
        <w:pStyle w:val="BodyText"/>
      </w:pPr>
      <w:r>
        <w:t>DPP participating providers track a</w:t>
      </w:r>
      <w:r w:rsidR="00457364">
        <w:t>doption of structure measures</w:t>
      </w:r>
      <w:r w:rsidR="00FC4814">
        <w:rPr>
          <w:rStyle w:val="FootnoteReference"/>
        </w:rPr>
        <w:footnoteReference w:id="3"/>
      </w:r>
      <w:r w:rsidR="00457364">
        <w:t xml:space="preserve"> </w:t>
      </w:r>
      <w:r w:rsidR="00E75112">
        <w:t>l</w:t>
      </w:r>
      <w:r w:rsidR="00457364">
        <w:t>ike participatin</w:t>
      </w:r>
      <w:r w:rsidR="002E0355">
        <w:t>g</w:t>
      </w:r>
      <w:r w:rsidR="00457364">
        <w:t xml:space="preserve"> in </w:t>
      </w:r>
      <w:r w:rsidR="002E0355">
        <w:t>a data e</w:t>
      </w:r>
      <w:r w:rsidR="00457364">
        <w:t>xchange</w:t>
      </w:r>
      <w:r w:rsidR="0040255F">
        <w:t>,</w:t>
      </w:r>
      <w:r>
        <w:t xml:space="preserve"> as well as p</w:t>
      </w:r>
      <w:r w:rsidR="00457364">
        <w:t>erformance rates for process and outcome measures</w:t>
      </w:r>
      <w:r w:rsidR="0040255F">
        <w:t xml:space="preserve">, such as </w:t>
      </w:r>
      <w:r w:rsidR="00457364">
        <w:t>the percentage of members</w:t>
      </w:r>
      <w:r w:rsidR="00E75112">
        <w:t xml:space="preserve"> seen during the year that have their </w:t>
      </w:r>
      <w:r w:rsidR="00457364">
        <w:t>diabetic HbA1c under control</w:t>
      </w:r>
      <w:r>
        <w:t xml:space="preserve">. </w:t>
      </w:r>
      <w:r w:rsidR="00E75112">
        <w:t>Providers use their electronic health records (EHRs) and other administrative data files to collect data</w:t>
      </w:r>
      <w:r>
        <w:t>.</w:t>
      </w:r>
    </w:p>
    <w:p w14:paraId="2E8421D7" w14:textId="347F1849" w:rsidR="00577F46" w:rsidRDefault="00577F46" w:rsidP="00577F46">
      <w:pPr>
        <w:pStyle w:val="BodyText"/>
      </w:pPr>
      <w:r>
        <w:t xml:space="preserve">The EQRO tracks </w:t>
      </w:r>
      <w:r w:rsidR="00E75112">
        <w:t xml:space="preserve">DPP program population rates for process and outcome measures like </w:t>
      </w:r>
      <w:r w:rsidR="00FC3034">
        <w:t>Emergency Room (</w:t>
      </w:r>
      <w:r w:rsidR="00E75112">
        <w:t>ER</w:t>
      </w:r>
      <w:r w:rsidR="00FC3034">
        <w:t>)</w:t>
      </w:r>
      <w:r w:rsidR="00E75112">
        <w:t xml:space="preserve"> utilization for STAR members seen by a TIPPS provider</w:t>
      </w:r>
      <w:r>
        <w:t>, as well as s</w:t>
      </w:r>
      <w:r w:rsidR="00E75112">
        <w:t xml:space="preserve">tate level rates for </w:t>
      </w:r>
      <w:r w:rsidR="00FC4814">
        <w:t xml:space="preserve">outcome </w:t>
      </w:r>
      <w:r w:rsidR="00E75112">
        <w:t>measures that cannot be attributed to a DPP</w:t>
      </w:r>
      <w:r w:rsidR="0040255F">
        <w:t>, such as</w:t>
      </w:r>
      <w:r w:rsidR="00E75112">
        <w:t xml:space="preserve"> the percentage of members that say they can always get care quickly</w:t>
      </w:r>
      <w:r>
        <w:t xml:space="preserve">. </w:t>
      </w:r>
      <w:r w:rsidR="00E75112">
        <w:t>The EQRO uses Medicaid claims from validated encounters, Medicaid enrollment files, and Consumer Assessment of Healthcare Providers and Systems (CAHPS) surveys</w:t>
      </w:r>
      <w:r>
        <w:t xml:space="preserve">. </w:t>
      </w:r>
    </w:p>
    <w:p w14:paraId="6D659697" w14:textId="6161E1DB" w:rsidR="00577F46" w:rsidRDefault="00577F46" w:rsidP="00647504">
      <w:pPr>
        <w:pStyle w:val="BodyText"/>
      </w:pPr>
      <w:r>
        <w:t xml:space="preserve">At the time of this evaluation, the following data </w:t>
      </w:r>
      <w:r w:rsidR="00727F4C">
        <w:t xml:space="preserve">are </w:t>
      </w:r>
      <w:r>
        <w:t xml:space="preserve">available: </w:t>
      </w:r>
    </w:p>
    <w:p w14:paraId="0AA5111B" w14:textId="629087DF" w:rsidR="00577F46" w:rsidRDefault="3C0CB7EE" w:rsidP="00574738">
      <w:pPr>
        <w:pStyle w:val="BodyText"/>
        <w:numPr>
          <w:ilvl w:val="0"/>
          <w:numId w:val="23"/>
        </w:numPr>
        <w:spacing w:before="120"/>
      </w:pPr>
      <w:r>
        <w:t>A</w:t>
      </w:r>
      <w:r w:rsidR="21EC56CA">
        <w:t>doption of structure measures</w:t>
      </w:r>
      <w:r>
        <w:t xml:space="preserve"> over SFY</w:t>
      </w:r>
      <w:r w:rsidR="000D660A">
        <w:t xml:space="preserve"> </w:t>
      </w:r>
      <w:r>
        <w:t>2022</w:t>
      </w:r>
      <w:r w:rsidR="203119ED">
        <w:t>,</w:t>
      </w:r>
      <w:r w:rsidR="4EC0E382">
        <w:t xml:space="preserve"> </w:t>
      </w:r>
      <w:r>
        <w:t>SFY</w:t>
      </w:r>
      <w:r w:rsidR="000D660A">
        <w:t xml:space="preserve"> </w:t>
      </w:r>
      <w:r>
        <w:t>2023</w:t>
      </w:r>
      <w:r w:rsidR="203119ED">
        <w:t xml:space="preserve"> and SFY</w:t>
      </w:r>
      <w:r w:rsidR="001A5E4E">
        <w:t xml:space="preserve"> </w:t>
      </w:r>
      <w:r w:rsidR="203119ED">
        <w:t>2024</w:t>
      </w:r>
      <w:r>
        <w:t xml:space="preserve"> (</w:t>
      </w:r>
      <w:r w:rsidR="21EC56CA">
        <w:t xml:space="preserve">as of </w:t>
      </w:r>
      <w:r w:rsidR="1A422270">
        <w:t>August 31, 2021</w:t>
      </w:r>
      <w:r w:rsidR="00E57CDA">
        <w:t>;</w:t>
      </w:r>
      <w:r w:rsidR="21EC56CA">
        <w:t xml:space="preserve"> </w:t>
      </w:r>
      <w:r w:rsidR="1A422270">
        <w:t>August 31, 2022</w:t>
      </w:r>
      <w:r w:rsidR="00E57CDA">
        <w:t>;</w:t>
      </w:r>
      <w:r w:rsidR="00763554">
        <w:t xml:space="preserve"> and</w:t>
      </w:r>
      <w:r w:rsidR="203119ED">
        <w:t xml:space="preserve"> August 31, 2023</w:t>
      </w:r>
      <w:r>
        <w:t>)</w:t>
      </w:r>
    </w:p>
    <w:p w14:paraId="5B6AAD6D" w14:textId="1706B487" w:rsidR="00577F46" w:rsidRDefault="21EC56CA" w:rsidP="00574738">
      <w:pPr>
        <w:pStyle w:val="BodyText"/>
        <w:numPr>
          <w:ilvl w:val="0"/>
          <w:numId w:val="23"/>
        </w:numPr>
        <w:spacing w:before="120"/>
      </w:pPr>
      <w:r>
        <w:t xml:space="preserve">Final provider reported performance rates for </w:t>
      </w:r>
      <w:r w:rsidR="002150C2">
        <w:t xml:space="preserve">SFY 2022 (January - December 2021) and </w:t>
      </w:r>
      <w:r w:rsidR="3C0CB7EE">
        <w:t>SFY</w:t>
      </w:r>
      <w:r w:rsidR="000D660A">
        <w:t xml:space="preserve"> </w:t>
      </w:r>
      <w:r w:rsidR="3C0CB7EE">
        <w:t>202</w:t>
      </w:r>
      <w:r w:rsidR="421FD123">
        <w:t>3</w:t>
      </w:r>
      <w:r w:rsidR="3C0CB7EE">
        <w:t xml:space="preserve"> (</w:t>
      </w:r>
      <w:r>
        <w:t>January – December 202</w:t>
      </w:r>
      <w:r w:rsidR="421FD123">
        <w:t>2</w:t>
      </w:r>
      <w:r w:rsidR="3C0CB7EE">
        <w:t xml:space="preserve">) </w:t>
      </w:r>
    </w:p>
    <w:p w14:paraId="203B237F" w14:textId="7CD70768" w:rsidR="002E0355" w:rsidRDefault="55CDB972" w:rsidP="00574738">
      <w:pPr>
        <w:pStyle w:val="BodyText"/>
        <w:numPr>
          <w:ilvl w:val="0"/>
          <w:numId w:val="23"/>
        </w:numPr>
        <w:spacing w:before="120"/>
      </w:pPr>
      <w:r>
        <w:t xml:space="preserve">Final </w:t>
      </w:r>
      <w:r w:rsidR="21EC56CA">
        <w:t xml:space="preserve">EQRO reported population </w:t>
      </w:r>
      <w:r>
        <w:t>rates for</w:t>
      </w:r>
      <w:r w:rsidR="002150C2">
        <w:t xml:space="preserve"> SFY 2022 (January</w:t>
      </w:r>
      <w:r>
        <w:t xml:space="preserve"> </w:t>
      </w:r>
      <w:r w:rsidR="002150C2">
        <w:t xml:space="preserve">– December 2021) and </w:t>
      </w:r>
      <w:r w:rsidR="3C0CB7EE">
        <w:t>SFY 202</w:t>
      </w:r>
      <w:r w:rsidR="3DA378B3">
        <w:t>3</w:t>
      </w:r>
      <w:r w:rsidR="3C0CB7EE">
        <w:t xml:space="preserve"> (</w:t>
      </w:r>
      <w:r w:rsidR="2A7E0A73">
        <w:t xml:space="preserve">January – December </w:t>
      </w:r>
      <w:r>
        <w:t>202</w:t>
      </w:r>
      <w:r w:rsidR="3DA378B3">
        <w:t>2</w:t>
      </w:r>
      <w:r w:rsidR="3C0CB7EE">
        <w:t>)</w:t>
      </w:r>
    </w:p>
    <w:p w14:paraId="782B1049" w14:textId="50D6D1F3" w:rsidR="00075796" w:rsidRPr="00075796" w:rsidRDefault="32B74977" w:rsidP="00EC13D8">
      <w:pPr>
        <w:pStyle w:val="BodyTextafterheading"/>
        <w:spacing w:before="360"/>
      </w:pPr>
      <w:r>
        <w:t xml:space="preserve">The </w:t>
      </w:r>
      <w:r w:rsidR="000D660A">
        <w:t xml:space="preserve">EQRO </w:t>
      </w:r>
      <w:r>
        <w:t xml:space="preserve">data used in this evaluation is available as </w:t>
      </w:r>
      <w:r w:rsidR="000D660A">
        <w:t xml:space="preserve">a </w:t>
      </w:r>
      <w:r>
        <w:t>Microsoft Excel file (</w:t>
      </w:r>
      <w:r w:rsidRPr="00B37721">
        <w:rPr>
          <w:b/>
          <w:bCs/>
        </w:rPr>
        <w:t xml:space="preserve">Attachment </w:t>
      </w:r>
      <w:r w:rsidR="7148F6B5" w:rsidRPr="00B37721">
        <w:rPr>
          <w:b/>
          <w:bCs/>
        </w:rPr>
        <w:t>1</w:t>
      </w:r>
      <w:r>
        <w:t xml:space="preserve">). </w:t>
      </w:r>
      <w:r w:rsidR="758F1496">
        <w:t>Provider-reported data from SFY</w:t>
      </w:r>
      <w:r w:rsidR="000D660A">
        <w:t xml:space="preserve"> </w:t>
      </w:r>
      <w:r w:rsidR="758F1496">
        <w:t>202</w:t>
      </w:r>
      <w:r w:rsidR="00763554">
        <w:t>3</w:t>
      </w:r>
      <w:r w:rsidR="00E771EA">
        <w:rPr>
          <w:rStyle w:val="FootnoteReference"/>
        </w:rPr>
        <w:footnoteReference w:id="4"/>
      </w:r>
      <w:r w:rsidR="758F1496">
        <w:t xml:space="preserve"> </w:t>
      </w:r>
      <w:r w:rsidR="000D660A">
        <w:t xml:space="preserve">are </w:t>
      </w:r>
      <w:r w:rsidR="758F1496">
        <w:t xml:space="preserve">posted publicly. </w:t>
      </w:r>
      <w:r w:rsidR="14D8F181">
        <w:t>M</w:t>
      </w:r>
      <w:r w:rsidR="5E127195">
        <w:t>ore information on the background and methodology</w:t>
      </w:r>
      <w:r w:rsidR="14D8F181">
        <w:t xml:space="preserve"> can be found in the </w:t>
      </w:r>
      <w:r w:rsidR="2A7E0A73">
        <w:t>evaluation plans for SFY</w:t>
      </w:r>
      <w:r w:rsidR="000D660A">
        <w:t xml:space="preserve"> </w:t>
      </w:r>
      <w:r w:rsidR="2A7E0A73">
        <w:t>2022</w:t>
      </w:r>
      <w:r w:rsidR="002E0355">
        <w:rPr>
          <w:rStyle w:val="FootnoteReference"/>
        </w:rPr>
        <w:footnoteReference w:id="5"/>
      </w:r>
      <w:r w:rsidR="10879E6D">
        <w:t>,</w:t>
      </w:r>
      <w:r w:rsidR="2A7E0A73">
        <w:t xml:space="preserve"> SFY</w:t>
      </w:r>
      <w:r w:rsidR="000D660A">
        <w:t xml:space="preserve"> </w:t>
      </w:r>
      <w:r w:rsidR="2A7E0A73">
        <w:t>2023</w:t>
      </w:r>
      <w:r w:rsidR="002E0355">
        <w:rPr>
          <w:rStyle w:val="FootnoteReference"/>
        </w:rPr>
        <w:footnoteReference w:id="6"/>
      </w:r>
      <w:r w:rsidR="4E5B5867">
        <w:t xml:space="preserve"> and SFY</w:t>
      </w:r>
      <w:r w:rsidR="001A5E4E">
        <w:t xml:space="preserve"> </w:t>
      </w:r>
      <w:r w:rsidR="4E5B5867">
        <w:t>2024</w:t>
      </w:r>
      <w:r w:rsidR="00B74CCE">
        <w:rPr>
          <w:rStyle w:val="FootnoteReference"/>
        </w:rPr>
        <w:footnoteReference w:id="7"/>
      </w:r>
      <w:r w:rsidR="4E5B5867">
        <w:t>.</w:t>
      </w:r>
      <w:r w:rsidR="2A7E0A73">
        <w:t xml:space="preserve"> </w:t>
      </w:r>
    </w:p>
    <w:p w14:paraId="614C60EB" w14:textId="1A181602" w:rsidR="00EE3D39" w:rsidRDefault="00665FE9" w:rsidP="00574738">
      <w:pPr>
        <w:pStyle w:val="Heading1"/>
        <w:numPr>
          <w:ilvl w:val="0"/>
          <w:numId w:val="17"/>
        </w:numPr>
        <w:ind w:hanging="810"/>
      </w:pPr>
      <w:bookmarkStart w:id="69" w:name="_Toc126061352"/>
      <w:bookmarkStart w:id="70" w:name="_Toc126242830"/>
      <w:bookmarkStart w:id="71" w:name="_Toc126317815"/>
      <w:bookmarkStart w:id="72" w:name="_Toc126325324"/>
      <w:bookmarkStart w:id="73" w:name="_Toc156487081"/>
      <w:bookmarkStart w:id="74" w:name="_Toc157413964"/>
      <w:bookmarkEnd w:id="69"/>
      <w:bookmarkEnd w:id="70"/>
      <w:bookmarkEnd w:id="71"/>
      <w:bookmarkEnd w:id="72"/>
      <w:r>
        <w:lastRenderedPageBreak/>
        <w:t>Results</w:t>
      </w:r>
      <w:bookmarkEnd w:id="73"/>
      <w:bookmarkEnd w:id="74"/>
    </w:p>
    <w:p w14:paraId="0E82E26C" w14:textId="1714AE9F" w:rsidR="00873C35" w:rsidRPr="00EC13D8" w:rsidRDefault="0B82E625" w:rsidP="00EC13D8">
      <w:pPr>
        <w:pStyle w:val="BodyText"/>
      </w:pPr>
      <w:r>
        <w:t xml:space="preserve">The evaluation can assess if the program is on track to meet its </w:t>
      </w:r>
      <w:r w:rsidR="0069648E">
        <w:t>goals and provide a general overview of how providers’ performance and participation have evolved</w:t>
      </w:r>
      <w:r>
        <w:t xml:space="preserve">. </w:t>
      </w:r>
      <w:r w:rsidR="002D6E4A">
        <w:t xml:space="preserve">With 30 months of program data, there is now tangible evidence that supports the notion the directed payment </w:t>
      </w:r>
      <w:r w:rsidR="00E57CDA">
        <w:t xml:space="preserve">programs </w:t>
      </w:r>
      <w:r w:rsidR="002D6E4A">
        <w:t xml:space="preserve">are </w:t>
      </w:r>
      <w:r w:rsidR="00E57CDA">
        <w:t xml:space="preserve">advancing the </w:t>
      </w:r>
      <w:r w:rsidR="002D6E4A">
        <w:t>goals and objectives</w:t>
      </w:r>
      <w:r w:rsidR="00E57CDA">
        <w:t xml:space="preserve"> of the Texas Managed Care </w:t>
      </w:r>
      <w:r w:rsidR="00E57CDA" w:rsidRPr="00352B52">
        <w:t>Quality Strategy</w:t>
      </w:r>
      <w:r w:rsidR="002D6E4A">
        <w:t xml:space="preserve">. Participating providers are meeting the program requirements and starting to </w:t>
      </w:r>
      <w:r w:rsidR="00FC3034">
        <w:t xml:space="preserve">show </w:t>
      </w:r>
      <w:r w:rsidR="002D6E4A">
        <w:t xml:space="preserve">improvements in key outcomes. </w:t>
      </w:r>
    </w:p>
    <w:p w14:paraId="3F68270E" w14:textId="2EE4E94C" w:rsidR="00873C35" w:rsidRDefault="11DAF839">
      <w:pPr>
        <w:pStyle w:val="Heading2"/>
      </w:pPr>
      <w:bookmarkStart w:id="75" w:name="_Toc156487082"/>
      <w:bookmarkStart w:id="76" w:name="_Toc157413965"/>
      <w:r>
        <w:t>Conditions of Participation</w:t>
      </w:r>
      <w:bookmarkEnd w:id="75"/>
      <w:bookmarkEnd w:id="76"/>
    </w:p>
    <w:p w14:paraId="25BE4A07" w14:textId="4835A0C7" w:rsidR="00715AEF" w:rsidRDefault="00715AEF" w:rsidP="00715AEF">
      <w:pPr>
        <w:pStyle w:val="BodyTextafterheading"/>
      </w:pPr>
      <w:r>
        <w:t>As a condition of participation</w:t>
      </w:r>
      <w:r w:rsidR="001F5866">
        <w:t xml:space="preserve"> </w:t>
      </w:r>
      <w:r>
        <w:t xml:space="preserve">in </w:t>
      </w:r>
      <w:r w:rsidR="00E57CDA">
        <w:t xml:space="preserve">each directed payment </w:t>
      </w:r>
      <w:r>
        <w:t xml:space="preserve">program, </w:t>
      </w:r>
      <w:r w:rsidR="00525EFE">
        <w:t>participating provider</w:t>
      </w:r>
      <w:r w:rsidR="00FB1576">
        <w:t>s</w:t>
      </w:r>
      <w:r>
        <w:t xml:space="preserve"> report</w:t>
      </w:r>
      <w:r w:rsidR="00FB1576">
        <w:t xml:space="preserve"> </w:t>
      </w:r>
      <w:r>
        <w:t xml:space="preserve">data </w:t>
      </w:r>
      <w:r w:rsidR="00FB1576">
        <w:t>to</w:t>
      </w:r>
      <w:r w:rsidR="005E19A7">
        <w:t xml:space="preserve"> HHSC</w:t>
      </w:r>
      <w:r w:rsidR="00FC4814">
        <w:t>.</w:t>
      </w:r>
      <w:r>
        <w:t xml:space="preserve"> </w:t>
      </w:r>
      <w:r w:rsidR="001F5866">
        <w:t>P</w:t>
      </w:r>
      <w:r w:rsidR="00FB1576">
        <w:t>articipants</w:t>
      </w:r>
      <w:r>
        <w:t xml:space="preserve"> submit responses to qualitative questions that summarize their progress towards implementing structure </w:t>
      </w:r>
      <w:r w:rsidR="001C679C">
        <w:t xml:space="preserve">measures </w:t>
      </w:r>
      <w:r w:rsidR="001F5866">
        <w:t xml:space="preserve">but </w:t>
      </w:r>
      <w:r>
        <w:t xml:space="preserve">are not required to implement </w:t>
      </w:r>
      <w:r w:rsidR="001F5866">
        <w:t xml:space="preserve">those </w:t>
      </w:r>
      <w:r>
        <w:t xml:space="preserve">structure measures. </w:t>
      </w:r>
      <w:r w:rsidR="00E57CDA">
        <w:t xml:space="preserve">Providers </w:t>
      </w:r>
      <w:r w:rsidR="005E19A7">
        <w:t xml:space="preserve">also submit </w:t>
      </w:r>
      <w:r>
        <w:t xml:space="preserve">numerator and denominator rates </w:t>
      </w:r>
      <w:r w:rsidR="005E19A7">
        <w:t xml:space="preserve">for performance measures </w:t>
      </w:r>
      <w:r>
        <w:t xml:space="preserve">and respond to qualitative questions </w:t>
      </w:r>
      <w:r w:rsidR="00FB1576">
        <w:t>about their data collection methodology</w:t>
      </w:r>
      <w:r>
        <w:t xml:space="preserve">. </w:t>
      </w:r>
      <w:r w:rsidR="005E19A7">
        <w:t>Performance r</w:t>
      </w:r>
      <w:r>
        <w:t>ates for most measures</w:t>
      </w:r>
      <w:r w:rsidR="00FB1576">
        <w:t xml:space="preserve"> must be</w:t>
      </w:r>
      <w:r>
        <w:t xml:space="preserve"> stratified by payer-type</w:t>
      </w:r>
      <w:r w:rsidR="00FB1576">
        <w:rPr>
          <w:rStyle w:val="FootnoteReference"/>
        </w:rPr>
        <w:footnoteReference w:id="8"/>
      </w:r>
      <w:r w:rsidR="00FB1576">
        <w:t xml:space="preserve"> </w:t>
      </w:r>
      <w:r>
        <w:t xml:space="preserve">including by the Medicaid </w:t>
      </w:r>
      <w:r w:rsidR="00FB1576">
        <w:t>m</w:t>
      </w:r>
      <w:r>
        <w:t xml:space="preserve">anaged </w:t>
      </w:r>
      <w:r w:rsidR="00FB1576">
        <w:t>c</w:t>
      </w:r>
      <w:r>
        <w:t>are</w:t>
      </w:r>
      <w:r w:rsidR="00FB1576">
        <w:t xml:space="preserve"> </w:t>
      </w:r>
      <w:r>
        <w:t>programs that are a part of the payment arrangement</w:t>
      </w:r>
      <w:r w:rsidR="00FB1576">
        <w:t xml:space="preserve">, with some exceptions that are described in the next section. </w:t>
      </w:r>
    </w:p>
    <w:p w14:paraId="5C2F58C3" w14:textId="570FAB41" w:rsidR="008C5470" w:rsidRDefault="6CAD1EF0">
      <w:pPr>
        <w:pStyle w:val="BodyTextafterheading"/>
      </w:pPr>
      <w:r>
        <w:t>In the first year of</w:t>
      </w:r>
      <w:r w:rsidR="2FBAC66C">
        <w:t xml:space="preserve"> the</w:t>
      </w:r>
      <w:r>
        <w:t xml:space="preserve"> program, DPP BHS participants had two reporting periods to submit </w:t>
      </w:r>
      <w:r w:rsidR="0B8DE150">
        <w:t xml:space="preserve">the required </w:t>
      </w:r>
      <w:r>
        <w:t xml:space="preserve">data, and CHIRP, TIPPS, and RAPPS participants had one reporting period. </w:t>
      </w:r>
      <w:r w:rsidR="0B8DE150">
        <w:t>Participants that did not submit the required data did not meet the conditions of participation</w:t>
      </w:r>
      <w:r w:rsidR="5C37D19C">
        <w:t>, and</w:t>
      </w:r>
      <w:r w:rsidR="0B8DE150">
        <w:t xml:space="preserve"> either withdrew or were removed from the program.</w:t>
      </w:r>
      <w:r w:rsidR="00956570">
        <w:t xml:space="preserve"> </w:t>
      </w:r>
      <w:r w:rsidR="00956570" w:rsidRPr="00956570">
        <w:t xml:space="preserve">In subsequent years, there are two reporting periods for all four programs.  </w:t>
      </w:r>
    </w:p>
    <w:p w14:paraId="1F9109A5" w14:textId="0F29B9FA" w:rsidR="00FC4814" w:rsidRDefault="14D8F181" w:rsidP="00EF240C">
      <w:pPr>
        <w:pStyle w:val="TOC1"/>
      </w:pPr>
      <w:r>
        <w:t xml:space="preserve">Table </w:t>
      </w:r>
      <w:r w:rsidR="6FB5E806">
        <w:t>1</w:t>
      </w:r>
      <w:r>
        <w:t xml:space="preserve">: </w:t>
      </w:r>
      <w:r w:rsidR="00956570" w:rsidRPr="00956570">
        <w:t>Number of participants that enrolled in the program and percent of enrolled participants that met the conditions of participation</w:t>
      </w:r>
    </w:p>
    <w:tbl>
      <w:tblPr>
        <w:tblStyle w:val="TableGrid"/>
        <w:tblW w:w="9444" w:type="dxa"/>
        <w:tblLook w:val="04A0" w:firstRow="1" w:lastRow="0" w:firstColumn="1" w:lastColumn="0" w:noHBand="0" w:noVBand="1"/>
      </w:tblPr>
      <w:tblGrid>
        <w:gridCol w:w="1838"/>
        <w:gridCol w:w="1959"/>
        <w:gridCol w:w="1729"/>
        <w:gridCol w:w="1959"/>
        <w:gridCol w:w="1959"/>
      </w:tblGrid>
      <w:tr w:rsidR="00956570" w14:paraId="58E4884D" w14:textId="77777777" w:rsidTr="002E757C">
        <w:trPr>
          <w:trHeight w:val="580"/>
        </w:trPr>
        <w:tc>
          <w:tcPr>
            <w:tcW w:w="1838" w:type="dxa"/>
            <w:shd w:val="clear" w:color="auto" w:fill="8BA8E2" w:themeFill="text1" w:themeFillTint="66"/>
          </w:tcPr>
          <w:p w14:paraId="2FAD708E" w14:textId="353F32A4" w:rsidR="00956570" w:rsidRDefault="00956570" w:rsidP="00EF240C">
            <w:pPr>
              <w:pStyle w:val="TOC1"/>
            </w:pPr>
            <w:r>
              <w:t>Year</w:t>
            </w:r>
          </w:p>
        </w:tc>
        <w:tc>
          <w:tcPr>
            <w:tcW w:w="1959" w:type="dxa"/>
            <w:shd w:val="clear" w:color="auto" w:fill="8BA8E2" w:themeFill="text1" w:themeFillTint="66"/>
          </w:tcPr>
          <w:p w14:paraId="2BC3BBFF" w14:textId="03A4286C" w:rsidR="00956570" w:rsidRDefault="00956570" w:rsidP="00EF240C">
            <w:pPr>
              <w:pStyle w:val="TOC1"/>
            </w:pPr>
            <w:r>
              <w:t>CHIRP</w:t>
            </w:r>
          </w:p>
        </w:tc>
        <w:tc>
          <w:tcPr>
            <w:tcW w:w="1729" w:type="dxa"/>
            <w:shd w:val="clear" w:color="auto" w:fill="8BA8E2" w:themeFill="text1" w:themeFillTint="66"/>
          </w:tcPr>
          <w:p w14:paraId="0F0FF943" w14:textId="44164B8D" w:rsidR="00956570" w:rsidRDefault="00956570" w:rsidP="00EF240C">
            <w:pPr>
              <w:pStyle w:val="TOC1"/>
            </w:pPr>
            <w:r>
              <w:t>TIPPS</w:t>
            </w:r>
          </w:p>
        </w:tc>
        <w:tc>
          <w:tcPr>
            <w:tcW w:w="1959" w:type="dxa"/>
            <w:shd w:val="clear" w:color="auto" w:fill="8BA8E2" w:themeFill="text1" w:themeFillTint="66"/>
          </w:tcPr>
          <w:p w14:paraId="72DA27B9" w14:textId="741C1FC8" w:rsidR="00956570" w:rsidRDefault="00956570" w:rsidP="00EF240C">
            <w:pPr>
              <w:pStyle w:val="TOC1"/>
            </w:pPr>
            <w:r>
              <w:t>RAPPS</w:t>
            </w:r>
          </w:p>
        </w:tc>
        <w:tc>
          <w:tcPr>
            <w:tcW w:w="1959" w:type="dxa"/>
            <w:shd w:val="clear" w:color="auto" w:fill="8BA8E2" w:themeFill="text1" w:themeFillTint="66"/>
          </w:tcPr>
          <w:p w14:paraId="3632E0BD" w14:textId="267D22A9" w:rsidR="00956570" w:rsidRDefault="00956570" w:rsidP="00EF240C">
            <w:pPr>
              <w:pStyle w:val="TOC1"/>
            </w:pPr>
            <w:r>
              <w:t>DPP BHS</w:t>
            </w:r>
          </w:p>
        </w:tc>
      </w:tr>
      <w:tr w:rsidR="00956570" w:rsidRPr="008C5ECB" w14:paraId="1E42B819" w14:textId="77777777" w:rsidTr="003B09DD">
        <w:trPr>
          <w:trHeight w:val="603"/>
        </w:trPr>
        <w:tc>
          <w:tcPr>
            <w:tcW w:w="1838" w:type="dxa"/>
          </w:tcPr>
          <w:p w14:paraId="524DE36A" w14:textId="071EDD03" w:rsidR="00956570" w:rsidRPr="008C5ECB" w:rsidRDefault="00956570" w:rsidP="00EF240C">
            <w:pPr>
              <w:pStyle w:val="TOC1"/>
              <w:rPr>
                <w:b w:val="0"/>
                <w:bCs/>
              </w:rPr>
            </w:pPr>
            <w:r w:rsidRPr="008C5ECB">
              <w:rPr>
                <w:b w:val="0"/>
                <w:bCs/>
              </w:rPr>
              <w:t>SFY</w:t>
            </w:r>
            <w:r w:rsidR="007B7322" w:rsidRPr="008C5ECB">
              <w:rPr>
                <w:b w:val="0"/>
                <w:bCs/>
              </w:rPr>
              <w:t xml:space="preserve"> </w:t>
            </w:r>
            <w:r w:rsidRPr="008C5ECB">
              <w:rPr>
                <w:b w:val="0"/>
                <w:bCs/>
              </w:rPr>
              <w:t>2022</w:t>
            </w:r>
          </w:p>
        </w:tc>
        <w:tc>
          <w:tcPr>
            <w:tcW w:w="1959" w:type="dxa"/>
          </w:tcPr>
          <w:p w14:paraId="111A3380" w14:textId="22C5A403" w:rsidR="00956570" w:rsidRPr="008C5ECB" w:rsidRDefault="00956570" w:rsidP="00EF240C">
            <w:pPr>
              <w:pStyle w:val="TOC1"/>
              <w:rPr>
                <w:b w:val="0"/>
                <w:bCs/>
              </w:rPr>
            </w:pPr>
            <w:r w:rsidRPr="008C5ECB">
              <w:rPr>
                <w:b w:val="0"/>
                <w:bCs/>
              </w:rPr>
              <w:t>418 / 98%</w:t>
            </w:r>
          </w:p>
        </w:tc>
        <w:tc>
          <w:tcPr>
            <w:tcW w:w="1729" w:type="dxa"/>
          </w:tcPr>
          <w:p w14:paraId="35366EBF" w14:textId="1331C489" w:rsidR="00956570" w:rsidRPr="008C5ECB" w:rsidRDefault="00956570" w:rsidP="00EF240C">
            <w:pPr>
              <w:pStyle w:val="TOC1"/>
              <w:rPr>
                <w:b w:val="0"/>
                <w:bCs/>
              </w:rPr>
            </w:pPr>
            <w:r w:rsidRPr="008C5ECB">
              <w:rPr>
                <w:b w:val="0"/>
                <w:bCs/>
              </w:rPr>
              <w:t>71 / 87%</w:t>
            </w:r>
          </w:p>
        </w:tc>
        <w:tc>
          <w:tcPr>
            <w:tcW w:w="1959" w:type="dxa"/>
          </w:tcPr>
          <w:p w14:paraId="0443668A" w14:textId="774D6D25" w:rsidR="00956570" w:rsidRPr="008C5ECB" w:rsidRDefault="00956570" w:rsidP="00EF240C">
            <w:pPr>
              <w:pStyle w:val="TOC1"/>
              <w:rPr>
                <w:b w:val="0"/>
                <w:bCs/>
              </w:rPr>
            </w:pPr>
            <w:r w:rsidRPr="008C5ECB">
              <w:rPr>
                <w:b w:val="0"/>
                <w:bCs/>
              </w:rPr>
              <w:t>181 / 94%</w:t>
            </w:r>
          </w:p>
        </w:tc>
        <w:tc>
          <w:tcPr>
            <w:tcW w:w="1959" w:type="dxa"/>
          </w:tcPr>
          <w:p w14:paraId="28C164BF" w14:textId="7061192D" w:rsidR="00956570" w:rsidRPr="008C5ECB" w:rsidRDefault="00956570" w:rsidP="00EF240C">
            <w:pPr>
              <w:pStyle w:val="TOC1"/>
              <w:rPr>
                <w:b w:val="0"/>
                <w:bCs/>
              </w:rPr>
            </w:pPr>
            <w:r w:rsidRPr="008C5ECB">
              <w:rPr>
                <w:b w:val="0"/>
                <w:bCs/>
              </w:rPr>
              <w:t>39 / 100%</w:t>
            </w:r>
          </w:p>
        </w:tc>
      </w:tr>
      <w:tr w:rsidR="00956570" w:rsidRPr="008C5ECB" w14:paraId="48987581" w14:textId="77777777" w:rsidTr="003B09DD">
        <w:trPr>
          <w:trHeight w:val="580"/>
        </w:trPr>
        <w:tc>
          <w:tcPr>
            <w:tcW w:w="1838" w:type="dxa"/>
          </w:tcPr>
          <w:p w14:paraId="009D6037" w14:textId="709EA828" w:rsidR="00956570" w:rsidRPr="008C5ECB" w:rsidRDefault="00956570" w:rsidP="00EF240C">
            <w:pPr>
              <w:pStyle w:val="TOC1"/>
              <w:rPr>
                <w:b w:val="0"/>
                <w:bCs/>
              </w:rPr>
            </w:pPr>
            <w:r w:rsidRPr="008C5ECB">
              <w:rPr>
                <w:b w:val="0"/>
                <w:bCs/>
              </w:rPr>
              <w:t>SFY</w:t>
            </w:r>
            <w:r w:rsidR="007B7322" w:rsidRPr="008C5ECB">
              <w:rPr>
                <w:b w:val="0"/>
                <w:bCs/>
              </w:rPr>
              <w:t xml:space="preserve"> </w:t>
            </w:r>
            <w:r w:rsidRPr="008C5ECB">
              <w:rPr>
                <w:b w:val="0"/>
                <w:bCs/>
              </w:rPr>
              <w:t>2023</w:t>
            </w:r>
          </w:p>
        </w:tc>
        <w:tc>
          <w:tcPr>
            <w:tcW w:w="1959" w:type="dxa"/>
          </w:tcPr>
          <w:p w14:paraId="3080DC3F" w14:textId="723399F7" w:rsidR="00956570" w:rsidRPr="008C5ECB" w:rsidRDefault="00956570" w:rsidP="00EF240C">
            <w:pPr>
              <w:pStyle w:val="TOC1"/>
              <w:rPr>
                <w:b w:val="0"/>
                <w:bCs/>
              </w:rPr>
            </w:pPr>
            <w:r w:rsidRPr="008C5ECB">
              <w:rPr>
                <w:b w:val="0"/>
                <w:bCs/>
              </w:rPr>
              <w:t>406 / 99%</w:t>
            </w:r>
          </w:p>
        </w:tc>
        <w:tc>
          <w:tcPr>
            <w:tcW w:w="1729" w:type="dxa"/>
          </w:tcPr>
          <w:p w14:paraId="5A8E348D" w14:textId="40A69F74" w:rsidR="00956570" w:rsidRPr="008C5ECB" w:rsidRDefault="00956570" w:rsidP="00EF240C">
            <w:pPr>
              <w:pStyle w:val="TOC1"/>
              <w:rPr>
                <w:b w:val="0"/>
                <w:bCs/>
              </w:rPr>
            </w:pPr>
            <w:r w:rsidRPr="008C5ECB">
              <w:rPr>
                <w:b w:val="0"/>
                <w:bCs/>
              </w:rPr>
              <w:t>61 / 91%</w:t>
            </w:r>
          </w:p>
        </w:tc>
        <w:tc>
          <w:tcPr>
            <w:tcW w:w="1959" w:type="dxa"/>
          </w:tcPr>
          <w:p w14:paraId="1C82FE7F" w14:textId="533FEF65" w:rsidR="00956570" w:rsidRPr="008C5ECB" w:rsidRDefault="00956570" w:rsidP="00EF240C">
            <w:pPr>
              <w:pStyle w:val="TOC1"/>
              <w:rPr>
                <w:b w:val="0"/>
                <w:bCs/>
              </w:rPr>
            </w:pPr>
            <w:r w:rsidRPr="008C5ECB">
              <w:rPr>
                <w:b w:val="0"/>
                <w:bCs/>
              </w:rPr>
              <w:t>160 / 99%</w:t>
            </w:r>
          </w:p>
        </w:tc>
        <w:tc>
          <w:tcPr>
            <w:tcW w:w="1959" w:type="dxa"/>
          </w:tcPr>
          <w:p w14:paraId="686A1444" w14:textId="56CFCFC1" w:rsidR="00956570" w:rsidRPr="008C5ECB" w:rsidRDefault="00956570" w:rsidP="00EF240C">
            <w:pPr>
              <w:pStyle w:val="TOC1"/>
              <w:rPr>
                <w:b w:val="0"/>
                <w:bCs/>
              </w:rPr>
            </w:pPr>
            <w:r w:rsidRPr="008C5ECB">
              <w:rPr>
                <w:b w:val="0"/>
                <w:bCs/>
              </w:rPr>
              <w:t>40 / 100%</w:t>
            </w:r>
          </w:p>
        </w:tc>
      </w:tr>
    </w:tbl>
    <w:p w14:paraId="7C79BB84" w14:textId="69D279BE" w:rsidR="006827C5" w:rsidRDefault="006827C5" w:rsidP="006827C5">
      <w:pPr>
        <w:pStyle w:val="BodyText"/>
      </w:pPr>
      <w:r>
        <w:t xml:space="preserve">The number of participants enrolled in the program </w:t>
      </w:r>
      <w:r w:rsidR="00D61FE2">
        <w:t>in SFY2</w:t>
      </w:r>
      <w:r w:rsidR="005D3161">
        <w:t>3</w:t>
      </w:r>
      <w:r w:rsidR="00D61FE2">
        <w:t xml:space="preserve"> </w:t>
      </w:r>
      <w:r>
        <w:t>declined for CHIRP</w:t>
      </w:r>
      <w:r w:rsidR="005D3161">
        <w:t>, TIPPS</w:t>
      </w:r>
      <w:r>
        <w:t xml:space="preserve"> and </w:t>
      </w:r>
      <w:r w:rsidR="005D3161">
        <w:t>RA</w:t>
      </w:r>
      <w:r>
        <w:t>PPS</w:t>
      </w:r>
      <w:r w:rsidR="005D3161">
        <w:t xml:space="preserve"> from SFY22</w:t>
      </w:r>
      <w:r>
        <w:t xml:space="preserve">. </w:t>
      </w:r>
    </w:p>
    <w:p w14:paraId="560078A4" w14:textId="1A089732" w:rsidR="006827C5" w:rsidRDefault="006827C5" w:rsidP="006827C5">
      <w:pPr>
        <w:pStyle w:val="BodyText"/>
      </w:pPr>
      <w:r>
        <w:lastRenderedPageBreak/>
        <w:t>The percent of enrolled participants that met the conditions of participation increased from SFY</w:t>
      </w:r>
      <w:r w:rsidR="007B7322">
        <w:t xml:space="preserve"> </w:t>
      </w:r>
      <w:r>
        <w:t>2022 to SFY</w:t>
      </w:r>
      <w:r w:rsidR="007B7322">
        <w:t xml:space="preserve"> </w:t>
      </w:r>
      <w:r>
        <w:t xml:space="preserve">2023 </w:t>
      </w:r>
      <w:r w:rsidR="00436698">
        <w:t>for CHIRP, RAPPS and TIPPS. The percent stayed the same at 100% for DPP BHS</w:t>
      </w:r>
      <w:r>
        <w:t>. HHSC staff regularly survey the people who submit DPP quality reporting about their experience and uses this feedback to improve technical assistance. Since staff incorporated feedback from users, program participants have been more likely to meet quality reporting deadlines, less likely to submit inaccurate data, and report having an increased understanding of the reporting requirements and their program’s impact on the Texas Managed Care Quality Strategy.</w:t>
      </w:r>
    </w:p>
    <w:p w14:paraId="31FC0C31" w14:textId="287CC2C3" w:rsidR="00873C35" w:rsidRDefault="222DE418" w:rsidP="00EC13D8">
      <w:pPr>
        <w:pStyle w:val="Heading2"/>
      </w:pPr>
      <w:bookmarkStart w:id="77" w:name="_Toc156487083"/>
      <w:bookmarkStart w:id="78" w:name="_Toc157413966"/>
      <w:r>
        <w:t xml:space="preserve">Population </w:t>
      </w:r>
      <w:r w:rsidR="50112125">
        <w:t>Characteristics</w:t>
      </w:r>
      <w:bookmarkEnd w:id="77"/>
      <w:bookmarkEnd w:id="78"/>
      <w:r w:rsidR="55CDB972">
        <w:t xml:space="preserve"> </w:t>
      </w:r>
    </w:p>
    <w:p w14:paraId="544255E4" w14:textId="2694D2ED" w:rsidR="00313DFB" w:rsidRPr="0082561B" w:rsidRDefault="005E19A7" w:rsidP="00FB6A18">
      <w:pPr>
        <w:pStyle w:val="BodyText"/>
      </w:pPr>
      <w:r>
        <w:t>Some</w:t>
      </w:r>
      <w:r w:rsidR="00FB6A18">
        <w:t xml:space="preserve"> measures are tracked at the</w:t>
      </w:r>
      <w:r w:rsidR="00E75112">
        <w:t xml:space="preserve"> DPP</w:t>
      </w:r>
      <w:r w:rsidR="00FB6A18">
        <w:t xml:space="preserve"> population level</w:t>
      </w:r>
      <w:r w:rsidR="008C5470">
        <w:t xml:space="preserve"> by</w:t>
      </w:r>
      <w:r w:rsidR="00FB6A18">
        <w:t xml:space="preserve"> </w:t>
      </w:r>
      <w:r w:rsidR="008C5470">
        <w:t>u</w:t>
      </w:r>
      <w:r w:rsidR="00FB6A18">
        <w:t>sing claims data</w:t>
      </w:r>
      <w:r w:rsidR="008C5470">
        <w:t xml:space="preserve"> to isolate </w:t>
      </w:r>
      <w:r w:rsidR="00FB6A18">
        <w:t xml:space="preserve">the population of Medicaid clients that had </w:t>
      </w:r>
      <w:r w:rsidR="00F34C4F">
        <w:t>at least one visit</w:t>
      </w:r>
      <w:r w:rsidR="008C5470">
        <w:t xml:space="preserve"> during the measurement year</w:t>
      </w:r>
      <w:r w:rsidR="00FB6A18">
        <w:t xml:space="preserve"> with any provider</w:t>
      </w:r>
      <w:r w:rsidR="008C5470">
        <w:t xml:space="preserve"> participating in the DPP</w:t>
      </w:r>
      <w:r w:rsidR="00FB6A18">
        <w:t>. This data gives us a broad</w:t>
      </w:r>
      <w:r w:rsidR="008C5470">
        <w:t>er</w:t>
      </w:r>
      <w:r w:rsidR="00FB6A18">
        <w:t xml:space="preserve"> picture of the health of the population served by DPP participants. </w:t>
      </w:r>
    </w:p>
    <w:p w14:paraId="786C5D7B" w14:textId="5E845752" w:rsidR="00FB6A18" w:rsidRDefault="00FB6A18" w:rsidP="00EC13D8">
      <w:pPr>
        <w:pStyle w:val="Heading3"/>
      </w:pPr>
      <w:r>
        <w:t>Potentially Preventable Admissions</w:t>
      </w:r>
    </w:p>
    <w:p w14:paraId="51F5A9C4" w14:textId="36FF36BA" w:rsidR="00F10363" w:rsidRPr="0040255F" w:rsidRDefault="00FC4C3C" w:rsidP="00F10363">
      <w:pPr>
        <w:pStyle w:val="BodyTextafterheading"/>
      </w:pPr>
      <w:r>
        <w:t>Potentially Preventable Admissions (PPA</w:t>
      </w:r>
      <w:r w:rsidR="00FB0DC7">
        <w:t>s</w:t>
      </w:r>
      <w:r>
        <w:t xml:space="preserve">) are hospital admissions that could potentially have been </w:t>
      </w:r>
      <w:r w:rsidR="00FC3034">
        <w:t>addressed</w:t>
      </w:r>
      <w:r>
        <w:t xml:space="preserve"> in the outpatient setting. In many cases PPAs are for flare-ups of chronic conditions </w:t>
      </w:r>
      <w:r w:rsidR="001E2D24">
        <w:t xml:space="preserve">that </w:t>
      </w:r>
      <w:r w:rsidR="00FB0DC7">
        <w:t xml:space="preserve">could have been avoided with monitoring and </w:t>
      </w:r>
      <w:r>
        <w:t>follow-up</w:t>
      </w:r>
      <w:r w:rsidR="00FC3034">
        <w:t>,</w:t>
      </w:r>
      <w:r w:rsidR="00FB0DC7">
        <w:t xml:space="preserve"> like</w:t>
      </w:r>
      <w:r>
        <w:t xml:space="preserve"> medication management.</w:t>
      </w:r>
      <w:r>
        <w:rPr>
          <w:rStyle w:val="FootnoteReference"/>
        </w:rPr>
        <w:footnoteReference w:id="9"/>
      </w:r>
      <w:r w:rsidR="00FB0DC7">
        <w:t xml:space="preserve"> </w:t>
      </w:r>
      <w:r>
        <w:t xml:space="preserve">The EQRO tracks a PPA population rate for TIPPS, DPP BHS, and RAPPS. </w:t>
      </w:r>
      <w:r w:rsidR="00F10363" w:rsidRPr="004D237E">
        <w:t xml:space="preserve">In </w:t>
      </w:r>
      <w:r w:rsidR="00F440A1">
        <w:t>Calendar Year (</w:t>
      </w:r>
      <w:r w:rsidR="00F10363" w:rsidRPr="004D237E">
        <w:t>CY</w:t>
      </w:r>
      <w:r w:rsidR="00F440A1">
        <w:t>)</w:t>
      </w:r>
      <w:r w:rsidR="00F10363" w:rsidRPr="004D237E">
        <w:t xml:space="preserve"> 2022, Medicaid clients seen by TIPPS, DPP BHS, and RAPPS providers exhibited </w:t>
      </w:r>
      <w:r w:rsidR="009F0233">
        <w:t xml:space="preserve">a </w:t>
      </w:r>
      <w:r w:rsidR="00F10363" w:rsidRPr="004D237E">
        <w:t>higher</w:t>
      </w:r>
      <w:r w:rsidR="009F0233">
        <w:t xml:space="preserve"> number of actual</w:t>
      </w:r>
      <w:r w:rsidR="00F10363" w:rsidRPr="004D237E">
        <w:t xml:space="preserve"> admissions for preventable conditions, </w:t>
      </w:r>
      <w:r w:rsidR="003B2741">
        <w:t>compared to</w:t>
      </w:r>
      <w:r w:rsidR="00F10363" w:rsidRPr="004D237E">
        <w:t xml:space="preserve"> CY 2021 data.</w:t>
      </w:r>
      <w:r w:rsidR="00002565">
        <w:t xml:space="preserve"> </w:t>
      </w:r>
      <w:r w:rsidR="002C2F60" w:rsidRPr="008F5F12">
        <w:t>The COVID-19 Public Health Emergency may have impacted Potentially Preventable Admissions, leading to atypical utilization</w:t>
      </w:r>
      <w:r w:rsidR="002C2F60">
        <w:t xml:space="preserve"> which may</w:t>
      </w:r>
      <w:r w:rsidR="002C2F60">
        <w:rPr>
          <w:rStyle w:val="ui-provider"/>
        </w:rPr>
        <w:t xml:space="preserve"> have influenced these results. </w:t>
      </w:r>
      <w:r w:rsidR="00F10363" w:rsidRPr="00B37721">
        <w:rPr>
          <w:b/>
          <w:bCs/>
        </w:rPr>
        <w:t xml:space="preserve">Appendix </w:t>
      </w:r>
      <w:r w:rsidR="00B37721" w:rsidRPr="00B37721">
        <w:rPr>
          <w:b/>
          <w:bCs/>
        </w:rPr>
        <w:t>B</w:t>
      </w:r>
      <w:r w:rsidR="00F10363" w:rsidRPr="00B37721">
        <w:rPr>
          <w:b/>
          <w:bCs/>
        </w:rPr>
        <w:t xml:space="preserve"> Figure 1</w:t>
      </w:r>
      <w:r w:rsidR="00F10363" w:rsidRPr="004D237E">
        <w:t xml:space="preserve"> provides detailed rates.</w:t>
      </w:r>
    </w:p>
    <w:p w14:paraId="1804463C" w14:textId="748702D4" w:rsidR="000D2470" w:rsidRDefault="009F0233" w:rsidP="000D2470">
      <w:pPr>
        <w:pStyle w:val="BodyText"/>
        <w:numPr>
          <w:ilvl w:val="0"/>
          <w:numId w:val="19"/>
        </w:numPr>
      </w:pPr>
      <w:r>
        <w:t xml:space="preserve">In CY 2022, </w:t>
      </w:r>
      <w:r w:rsidR="002C3470">
        <w:t>DPP BHS exhibit</w:t>
      </w:r>
      <w:r w:rsidR="00994CE1">
        <w:t>ed</w:t>
      </w:r>
      <w:r w:rsidR="002C3470">
        <w:t xml:space="preserve"> higher PPAs in STAR and STAR Kids managed care programs compared to other DPPs. </w:t>
      </w:r>
      <w:proofErr w:type="gramStart"/>
      <w:r w:rsidR="002C3470">
        <w:t xml:space="preserve">Both of </w:t>
      </w:r>
      <w:r w:rsidR="00994CE1">
        <w:t>these</w:t>
      </w:r>
      <w:proofErr w:type="gramEnd"/>
      <w:r w:rsidR="00994CE1">
        <w:t xml:space="preserve"> actual</w:t>
      </w:r>
      <w:r>
        <w:t xml:space="preserve"> to expected ratio</w:t>
      </w:r>
      <w:r w:rsidR="00994CE1">
        <w:t>s</w:t>
      </w:r>
      <w:r>
        <w:t xml:space="preserve"> </w:t>
      </w:r>
      <w:r w:rsidR="002C3470">
        <w:t xml:space="preserve">were higher </w:t>
      </w:r>
      <w:r w:rsidR="00994CE1">
        <w:t>than</w:t>
      </w:r>
      <w:r w:rsidR="002C3470">
        <w:t xml:space="preserve"> in other DPPs.  However, </w:t>
      </w:r>
      <w:r w:rsidR="00994CE1">
        <w:t xml:space="preserve">CY 2022 </w:t>
      </w:r>
      <w:r w:rsidR="002C3470">
        <w:t xml:space="preserve">rates have slightly improved </w:t>
      </w:r>
      <w:r w:rsidR="00C65805">
        <w:t>compared</w:t>
      </w:r>
      <w:r w:rsidR="002C3470">
        <w:t xml:space="preserve"> to CY 2021 numbers.</w:t>
      </w:r>
    </w:p>
    <w:p w14:paraId="77073C0B" w14:textId="00C564A5" w:rsidR="000D2470" w:rsidRDefault="000D2470" w:rsidP="000D2470">
      <w:pPr>
        <w:pStyle w:val="BodyText"/>
        <w:numPr>
          <w:ilvl w:val="0"/>
          <w:numId w:val="19"/>
        </w:numPr>
      </w:pPr>
      <w:r>
        <w:t xml:space="preserve">STAR+PLUS clients seen by DPP BHS providers were admitted to the hospital for preventable conditions </w:t>
      </w:r>
      <w:r w:rsidRPr="003B09DD">
        <w:t>less often</w:t>
      </w:r>
      <w:r>
        <w:t xml:space="preserve"> compared</w:t>
      </w:r>
      <w:r w:rsidR="002C3470">
        <w:t xml:space="preserve"> to</w:t>
      </w:r>
      <w:r>
        <w:t xml:space="preserve"> </w:t>
      </w:r>
      <w:r w:rsidR="00994CE1">
        <w:t>CY</w:t>
      </w:r>
      <w:r>
        <w:t xml:space="preserve"> 2021. </w:t>
      </w:r>
    </w:p>
    <w:p w14:paraId="10EDD234" w14:textId="535EAD82" w:rsidR="00994CE1" w:rsidRDefault="00994CE1" w:rsidP="000D2470">
      <w:pPr>
        <w:pStyle w:val="BodyText"/>
        <w:numPr>
          <w:ilvl w:val="0"/>
          <w:numId w:val="19"/>
        </w:numPr>
      </w:pPr>
      <w:r>
        <w:t xml:space="preserve">In </w:t>
      </w:r>
      <w:r w:rsidR="0074749B">
        <w:t xml:space="preserve">CY </w:t>
      </w:r>
      <w:r>
        <w:t xml:space="preserve">2022, RAPPS data shows decline in the actual number of </w:t>
      </w:r>
      <w:r w:rsidR="00C65805">
        <w:t>admission</w:t>
      </w:r>
      <w:r w:rsidR="0074749B">
        <w:t xml:space="preserve">s and </w:t>
      </w:r>
      <w:r w:rsidR="00C65805">
        <w:t>the</w:t>
      </w:r>
      <w:r>
        <w:t xml:space="preserve"> number of Medicaid clients with PPA admissions compared to CY 2021. </w:t>
      </w:r>
    </w:p>
    <w:p w14:paraId="0F67B919" w14:textId="77777777" w:rsidR="00FB6A18" w:rsidRDefault="00FB6A18" w:rsidP="00EC13D8">
      <w:pPr>
        <w:pStyle w:val="Heading3"/>
      </w:pPr>
      <w:r>
        <w:lastRenderedPageBreak/>
        <w:t>Potentially Preventable ED Visits</w:t>
      </w:r>
    </w:p>
    <w:p w14:paraId="3BB8F439" w14:textId="4F3D6133" w:rsidR="00FC4C3C" w:rsidRDefault="00FC4C3C" w:rsidP="00FC4C3C">
      <w:pPr>
        <w:pStyle w:val="BodyText"/>
      </w:pPr>
      <w:r>
        <w:t>Potentially Preventable ED Visits (PPVs) are emergency department visits for conditions that could otherwise be treated by a care provider in a non-emergency setting. PPVs may also result from a lack of adequate care or inadequate ambulatory care coordination, such as lack of access to urgent care facilities</w:t>
      </w:r>
      <w:r w:rsidR="00FC3034">
        <w:t xml:space="preserve"> or</w:t>
      </w:r>
      <w:r>
        <w:t xml:space="preserve"> limited availability of primary care physicians. Like PPAs, PPVs include visits that adequate patient monitoring and treatment </w:t>
      </w:r>
      <w:r w:rsidR="00FB0DC7">
        <w:t>like</w:t>
      </w:r>
      <w:r>
        <w:t xml:space="preserve"> medication management should be able to reduce or eliminate.</w:t>
      </w:r>
    </w:p>
    <w:p w14:paraId="571FA217" w14:textId="5F541C97" w:rsidR="00FC4C3C" w:rsidRPr="0040255F" w:rsidRDefault="00FC4C3C" w:rsidP="00647504">
      <w:pPr>
        <w:pStyle w:val="BodyTextafterheading"/>
      </w:pPr>
      <w:r>
        <w:t xml:space="preserve">The EQRO tracks a </w:t>
      </w:r>
      <w:r w:rsidR="008111DF">
        <w:t xml:space="preserve">PPV </w:t>
      </w:r>
      <w:r>
        <w:t xml:space="preserve">population rate for TIPPS, DPP BHS, and RAPPS. </w:t>
      </w:r>
    </w:p>
    <w:p w14:paraId="02A27C69" w14:textId="1124A91B" w:rsidR="00313DFB" w:rsidRDefault="50112125" w:rsidP="00574738">
      <w:pPr>
        <w:pStyle w:val="BodyText"/>
        <w:numPr>
          <w:ilvl w:val="0"/>
          <w:numId w:val="22"/>
        </w:numPr>
      </w:pPr>
      <w:r>
        <w:t>During</w:t>
      </w:r>
      <w:r w:rsidR="00D04EAA">
        <w:t xml:space="preserve"> CY 2022</w:t>
      </w:r>
      <w:r>
        <w:t xml:space="preserve">, Medicaid clients seen by </w:t>
      </w:r>
      <w:r w:rsidRPr="00512998">
        <w:t>TIPPS, DPP BHS, and RAPPS</w:t>
      </w:r>
      <w:r w:rsidRPr="003B09DD">
        <w:rPr>
          <w:b/>
          <w:bCs/>
        </w:rPr>
        <w:t xml:space="preserve"> </w:t>
      </w:r>
      <w:r>
        <w:t>providers visited the ED for preventable conditions more often than expected when compared to other Medicaid clients.</w:t>
      </w:r>
      <w:r w:rsidR="20870C85">
        <w:t xml:space="preserve"> See </w:t>
      </w:r>
      <w:r w:rsidR="006A54DD">
        <w:rPr>
          <w:b/>
          <w:bCs/>
        </w:rPr>
        <w:t>Appendix B</w:t>
      </w:r>
      <w:r w:rsidR="6FB5E806" w:rsidRPr="2FAF9C18">
        <w:rPr>
          <w:b/>
          <w:bCs/>
        </w:rPr>
        <w:t xml:space="preserve"> Figure 2</w:t>
      </w:r>
      <w:r w:rsidR="20870C85">
        <w:t xml:space="preserve"> for specific rates.</w:t>
      </w:r>
    </w:p>
    <w:p w14:paraId="503FDA29" w14:textId="26A09990" w:rsidR="00D04EAA" w:rsidRDefault="00D04EAA" w:rsidP="00574738">
      <w:pPr>
        <w:pStyle w:val="BodyText"/>
        <w:numPr>
          <w:ilvl w:val="0"/>
          <w:numId w:val="22"/>
        </w:numPr>
      </w:pPr>
      <w:r>
        <w:t>In CY 2022,</w:t>
      </w:r>
      <w:r w:rsidR="0001199D">
        <w:t xml:space="preserve"> PPV rates improved across all managed care programs including STAR, STAR+PLUS, and STAR Kids in DPP BHS and RAPPS</w:t>
      </w:r>
      <w:r w:rsidR="00E0743E">
        <w:t xml:space="preserve"> compared to CY 2021</w:t>
      </w:r>
      <w:r w:rsidR="0001199D">
        <w:t>, however, even after improvement, PPV rates were higher than expected.</w:t>
      </w:r>
    </w:p>
    <w:p w14:paraId="481E923F" w14:textId="0805B37E" w:rsidR="0001199D" w:rsidRDefault="00512998" w:rsidP="00574738">
      <w:pPr>
        <w:pStyle w:val="BodyText"/>
        <w:numPr>
          <w:ilvl w:val="0"/>
          <w:numId w:val="22"/>
        </w:numPr>
      </w:pPr>
      <w:r>
        <w:t xml:space="preserve">In CY 2022, </w:t>
      </w:r>
      <w:r w:rsidR="0001199D">
        <w:t>TIPPS experienced improvement in STAR and STAR Kids</w:t>
      </w:r>
      <w:r w:rsidR="00E0743E">
        <w:t xml:space="preserve"> compared to CY 2021</w:t>
      </w:r>
      <w:r w:rsidR="0001199D">
        <w:t xml:space="preserve">, with actual PPV rates </w:t>
      </w:r>
      <w:r>
        <w:t xml:space="preserve">remaining </w:t>
      </w:r>
      <w:r w:rsidR="0001199D">
        <w:t>higher than expected.</w:t>
      </w:r>
    </w:p>
    <w:p w14:paraId="283D7741" w14:textId="7198923D" w:rsidR="00FB0DC7" w:rsidRDefault="00FB0DC7" w:rsidP="00EC13D8">
      <w:pPr>
        <w:pStyle w:val="Heading3"/>
      </w:pPr>
      <w:r>
        <w:t>Potentially Preventable Complications</w:t>
      </w:r>
    </w:p>
    <w:p w14:paraId="5A7DEB52" w14:textId="78333B2E" w:rsidR="00517601" w:rsidRDefault="00517601" w:rsidP="00517601">
      <w:r>
        <w:t>The EQRO tracks a Potentially Preventable Complications (PPC) population rate for the CHIRP program, stratified by STAR and STAR+PLUS programs. PPCs measure complications that arise during an inpatient stay because of improper care or treatment and do not represent the progression of the underlying disease. CHIRP PPC rates based on total at</w:t>
      </w:r>
      <w:r w:rsidR="00FC3034">
        <w:t>-</w:t>
      </w:r>
      <w:r>
        <w:t xml:space="preserve">risk admissions with one or more PPC for the STAR and STAR+PLUS programs </w:t>
      </w:r>
      <w:r w:rsidR="006E4B35">
        <w:t>were</w:t>
      </w:r>
      <w:r>
        <w:t xml:space="preserve"> relatively similar in CY2022 in comparison to CY2021. There were slight improvements in STAR+PLUS program in CY2022.</w:t>
      </w:r>
    </w:p>
    <w:p w14:paraId="4676CA46" w14:textId="755160D2" w:rsidR="000536BA" w:rsidRDefault="000536BA" w:rsidP="000536BA">
      <w:pPr>
        <w:pStyle w:val="Heading3"/>
      </w:pPr>
      <w:r>
        <w:t>Potentially Preventable Readmissions</w:t>
      </w:r>
    </w:p>
    <w:p w14:paraId="10FF754A" w14:textId="3D4E75BF" w:rsidR="000536BA" w:rsidRPr="000536BA" w:rsidRDefault="000536BA" w:rsidP="003B09DD">
      <w:pPr>
        <w:pStyle w:val="BodyText"/>
      </w:pPr>
      <w:r>
        <w:t>The EQRO also tracks Potentially Preventable Readmissions (PPR) population rate for the CHIRP program, stratified by STAR and STAR+PLUS programs. PPRs measure potentially avoidable readmissions to the hospital within 30 days that are clinically related to the initial hospital admission.</w:t>
      </w:r>
    </w:p>
    <w:p w14:paraId="387C95D7" w14:textId="75C760C3" w:rsidR="00C134CE" w:rsidRPr="0040255F" w:rsidRDefault="0074749B" w:rsidP="00574738">
      <w:pPr>
        <w:pStyle w:val="BodyText"/>
        <w:numPr>
          <w:ilvl w:val="0"/>
          <w:numId w:val="22"/>
        </w:numPr>
      </w:pPr>
      <w:r>
        <w:t>CY 2022 PPR rates for STAR +PLUS have</w:t>
      </w:r>
      <w:r w:rsidR="00011E25">
        <w:t xml:space="preserve"> improved compared to a previous year. </w:t>
      </w:r>
      <w:r w:rsidR="002246B6">
        <w:t>The rate</w:t>
      </w:r>
      <w:r w:rsidR="00011E25">
        <w:t xml:space="preserve"> decreased to 15.05 percent compare to 15.43 percent in CY 2021</w:t>
      </w:r>
      <w:r w:rsidR="00FC562A">
        <w:t>.</w:t>
      </w:r>
      <w:r w:rsidR="009C55B0">
        <w:t xml:space="preserve"> Rates for the CHIRP STAR rates have remained unchanged.</w:t>
      </w:r>
    </w:p>
    <w:p w14:paraId="6E47828B" w14:textId="7A09F25D" w:rsidR="00FB6A18" w:rsidRDefault="00FB6A18" w:rsidP="00EC13D8">
      <w:pPr>
        <w:pStyle w:val="Heading3"/>
      </w:pPr>
      <w:r>
        <w:lastRenderedPageBreak/>
        <w:t xml:space="preserve">Behavioral </w:t>
      </w:r>
      <w:r w:rsidR="00F440A1">
        <w:t>H</w:t>
      </w:r>
      <w:r>
        <w:t xml:space="preserve">ealth </w:t>
      </w:r>
      <w:r w:rsidR="00F440A1">
        <w:t>M</w:t>
      </w:r>
      <w:r>
        <w:t>easures</w:t>
      </w:r>
    </w:p>
    <w:p w14:paraId="4867F5D2" w14:textId="11B6AC09" w:rsidR="00FB6A18" w:rsidRDefault="00FB6A18" w:rsidP="00FB6A18">
      <w:pPr>
        <w:pStyle w:val="BodyText"/>
      </w:pPr>
      <w:r>
        <w:t>Program population rates were determined for the following measures</w:t>
      </w:r>
      <w:r w:rsidR="001547E3">
        <w:t xml:space="preserve"> for TIPPS, DPP BHS, and RAPPS</w:t>
      </w:r>
      <w:r>
        <w:t xml:space="preserve">, stratified by managed care program. </w:t>
      </w:r>
    </w:p>
    <w:p w14:paraId="574E65B6" w14:textId="6C707358" w:rsidR="00FB6A18" w:rsidRDefault="00FB6A18" w:rsidP="00574738">
      <w:pPr>
        <w:pStyle w:val="BodyText"/>
        <w:numPr>
          <w:ilvl w:val="0"/>
          <w:numId w:val="18"/>
        </w:numPr>
        <w:spacing w:before="160" w:after="160" w:line="276" w:lineRule="auto"/>
      </w:pPr>
      <w:r>
        <w:t xml:space="preserve">Antidepressant Medication Management Age 18+ (AMM) </w:t>
      </w:r>
    </w:p>
    <w:p w14:paraId="75A0CA96" w14:textId="313A58C5" w:rsidR="00FB6A18" w:rsidRDefault="00FB6A18" w:rsidP="00574738">
      <w:pPr>
        <w:pStyle w:val="BodyText"/>
        <w:numPr>
          <w:ilvl w:val="0"/>
          <w:numId w:val="18"/>
        </w:numPr>
        <w:spacing w:before="160" w:after="160" w:line="276" w:lineRule="auto"/>
      </w:pPr>
      <w:r>
        <w:t>Follow-Up After Emergency Department Visit for Mental Illness Age 6+ (FUM)</w:t>
      </w:r>
    </w:p>
    <w:p w14:paraId="4968A408" w14:textId="77777777" w:rsidR="00FB6A18" w:rsidRDefault="00FB6A18" w:rsidP="00574738">
      <w:pPr>
        <w:pStyle w:val="BodyText"/>
        <w:numPr>
          <w:ilvl w:val="0"/>
          <w:numId w:val="18"/>
        </w:numPr>
        <w:spacing w:before="160" w:after="160" w:line="276" w:lineRule="auto"/>
      </w:pPr>
      <w:r>
        <w:t xml:space="preserve">Initiation and Engagement of Alcohol and Other Drug Abuse or Dependence Treatment Age 13+ (IET) </w:t>
      </w:r>
    </w:p>
    <w:p w14:paraId="753AFE4C" w14:textId="26A75B6B" w:rsidR="00306C02" w:rsidRDefault="50112125" w:rsidP="2FAF9C18">
      <w:pPr>
        <w:pStyle w:val="BodyText"/>
        <w:spacing w:before="160" w:after="160" w:line="276" w:lineRule="auto"/>
      </w:pPr>
      <w:r>
        <w:t xml:space="preserve">The program population rates were </w:t>
      </w:r>
      <w:r w:rsidRPr="2FAF9C18">
        <w:rPr>
          <w:b/>
          <w:bCs/>
        </w:rPr>
        <w:t>better than</w:t>
      </w:r>
      <w:r>
        <w:t xml:space="preserve"> the statewide rate for a given managed care program for </w:t>
      </w:r>
      <w:r w:rsidRPr="2FAF9C18">
        <w:rPr>
          <w:b/>
          <w:bCs/>
        </w:rPr>
        <w:t xml:space="preserve">most </w:t>
      </w:r>
      <w:r>
        <w:t xml:space="preserve">of the identified population measures. </w:t>
      </w:r>
      <w:r w:rsidR="00787DCF">
        <w:t>However, comparison of the rates between the years shows that the program population rates decreased for 40 percent of the tracked rates. STAR program rates for Engagement of Alcohol and Other Drug Abuse or Dependence Treatment Age 13+ have decreased in CY</w:t>
      </w:r>
      <w:r w:rsidR="00DE6F50">
        <w:t xml:space="preserve"> </w:t>
      </w:r>
      <w:r w:rsidR="00787DCF">
        <w:t xml:space="preserve">2022 in all three DPPs compared to CY2021. </w:t>
      </w:r>
      <w:r w:rsidR="009A702B">
        <w:t xml:space="preserve">However, Initiation </w:t>
      </w:r>
      <w:r w:rsidR="009A702B" w:rsidRPr="009A702B">
        <w:t xml:space="preserve">of Alcohol and Other Drug Abuse or Dependence Treatment Age 13+ </w:t>
      </w:r>
      <w:r w:rsidR="009A702B">
        <w:t xml:space="preserve">increased for all programs in CY 2022 compared to CY 2021. </w:t>
      </w:r>
      <w:r w:rsidR="00787DCF">
        <w:t xml:space="preserve">STAR +PLUS rates for </w:t>
      </w:r>
      <w:r w:rsidR="00787DCF" w:rsidRPr="00787DCF">
        <w:t>Antidepressant Medication Management Age 18+ (</w:t>
      </w:r>
      <w:r w:rsidR="00787DCF">
        <w:t>acute</w:t>
      </w:r>
      <w:r w:rsidR="00787DCF" w:rsidRPr="00787DCF">
        <w:t xml:space="preserve"> </w:t>
      </w:r>
      <w:r w:rsidR="00787DCF">
        <w:t>p</w:t>
      </w:r>
      <w:r w:rsidR="00787DCF" w:rsidRPr="00787DCF">
        <w:t>hase</w:t>
      </w:r>
      <w:r w:rsidR="00787DCF">
        <w:t xml:space="preserve"> only</w:t>
      </w:r>
      <w:r w:rsidR="00787DCF" w:rsidRPr="00787DCF">
        <w:t>)</w:t>
      </w:r>
      <w:r w:rsidR="00787DCF">
        <w:t xml:space="preserve"> have decreased between two years across three DPPs.</w:t>
      </w:r>
      <w:r w:rsidR="009A702B" w:rsidRPr="009A702B">
        <w:rPr>
          <w:color w:val="000000" w:themeColor="text2"/>
          <w:szCs w:val="22"/>
        </w:rPr>
        <w:t xml:space="preserve"> </w:t>
      </w:r>
      <w:r w:rsidR="009A702B">
        <w:rPr>
          <w:color w:val="000000" w:themeColor="text2"/>
          <w:szCs w:val="22"/>
        </w:rPr>
        <w:t xml:space="preserve">For the </w:t>
      </w:r>
      <w:r w:rsidR="009A702B" w:rsidRPr="009A702B">
        <w:t xml:space="preserve">Follow-Up After Emergency Department Visit for Mental Illness Age 6+ </w:t>
      </w:r>
      <w:r w:rsidR="009A702B">
        <w:t xml:space="preserve">(30 day and 7 day) the </w:t>
      </w:r>
      <w:r w:rsidR="009A702B" w:rsidRPr="009A702B">
        <w:t xml:space="preserve">rates increased in </w:t>
      </w:r>
      <w:r w:rsidR="009A702B">
        <w:t xml:space="preserve">CY </w:t>
      </w:r>
      <w:r w:rsidR="009A702B" w:rsidRPr="009A702B">
        <w:t>2022</w:t>
      </w:r>
      <w:r w:rsidR="009A702B">
        <w:t xml:space="preserve"> compared to 2021</w:t>
      </w:r>
      <w:r w:rsidR="009A702B" w:rsidRPr="009A702B">
        <w:t xml:space="preserve"> for TIPPS, stayed about the same for DPP BHS, and decreased for RAPPS </w:t>
      </w:r>
      <w:r w:rsidR="009A702B">
        <w:t xml:space="preserve">in all programs </w:t>
      </w:r>
      <w:r w:rsidR="009A702B" w:rsidRPr="009A702B">
        <w:t>except for STAR.</w:t>
      </w:r>
    </w:p>
    <w:p w14:paraId="4FA38F1D" w14:textId="7809151F" w:rsidR="00306C02" w:rsidRDefault="50112125" w:rsidP="2FAF9C18">
      <w:pPr>
        <w:pStyle w:val="BodyText"/>
        <w:spacing w:before="160" w:after="160" w:line="276" w:lineRule="auto"/>
      </w:pPr>
      <w:r>
        <w:t xml:space="preserve">The program population rates were worse than the statewide rate for some measures and populations, </w:t>
      </w:r>
      <w:r w:rsidR="004A412E">
        <w:t xml:space="preserve">including IET measure </w:t>
      </w:r>
      <w:r w:rsidR="00241B80">
        <w:t>(primarily E</w:t>
      </w:r>
      <w:r w:rsidR="005F2AEC">
        <w:t xml:space="preserve">ngagement portion of the measure) </w:t>
      </w:r>
      <w:r w:rsidR="004A412E">
        <w:t xml:space="preserve">in TIPPS where performance is below the statewide rate in SFY 2022 and is </w:t>
      </w:r>
      <w:r w:rsidR="00241B80">
        <w:t>lower</w:t>
      </w:r>
      <w:r w:rsidR="004A412E">
        <w:t xml:space="preserve"> than in SFY 2021.</w:t>
      </w:r>
      <w:r w:rsidR="004A412E" w:rsidRPr="004A412E">
        <w:t xml:space="preserve"> </w:t>
      </w:r>
    </w:p>
    <w:p w14:paraId="539679F4" w14:textId="42C7A75D" w:rsidR="00E60839" w:rsidRDefault="004A412E" w:rsidP="2FAF9C18">
      <w:pPr>
        <w:pStyle w:val="BodyText"/>
        <w:spacing w:before="160" w:after="160" w:line="276" w:lineRule="auto"/>
        <w:rPr>
          <w:b/>
          <w:bCs/>
        </w:rPr>
      </w:pPr>
      <w:r>
        <w:t xml:space="preserve">Half of </w:t>
      </w:r>
      <w:r w:rsidR="50112125">
        <w:t xml:space="preserve">RAPPS population </w:t>
      </w:r>
      <w:r>
        <w:t>rates were lower tha</w:t>
      </w:r>
      <w:r w:rsidR="00241B80">
        <w:t>n</w:t>
      </w:r>
      <w:r>
        <w:t xml:space="preserve"> the statewide rates in </w:t>
      </w:r>
      <w:r w:rsidR="00787DCF">
        <w:t xml:space="preserve">CY </w:t>
      </w:r>
      <w:r>
        <w:t>2022.</w:t>
      </w:r>
      <w:r w:rsidR="00241B80">
        <w:t xml:space="preserve"> The number of rates that were lower than the statewide rates increased compare against </w:t>
      </w:r>
      <w:r w:rsidR="00787DCF">
        <w:t xml:space="preserve">CY </w:t>
      </w:r>
      <w:r w:rsidR="00241B80">
        <w:t xml:space="preserve">2021. FUM rates for STAR Kids population had the highest </w:t>
      </w:r>
      <w:r w:rsidR="00280C27">
        <w:t>decrease</w:t>
      </w:r>
      <w:r w:rsidR="001E187D">
        <w:t xml:space="preserve"> in comparison to </w:t>
      </w:r>
      <w:r w:rsidR="00280C27">
        <w:t xml:space="preserve">the </w:t>
      </w:r>
      <w:r w:rsidR="001E187D">
        <w:t xml:space="preserve">statewide rates since </w:t>
      </w:r>
      <w:r w:rsidR="00DE6F50">
        <w:t xml:space="preserve">CY </w:t>
      </w:r>
      <w:r w:rsidR="001E187D">
        <w:t>2021</w:t>
      </w:r>
      <w:r w:rsidR="50112125">
        <w:t xml:space="preserve">, as shown in </w:t>
      </w:r>
      <w:r w:rsidR="006A54DD">
        <w:rPr>
          <w:b/>
          <w:bCs/>
        </w:rPr>
        <w:t>Appendix B</w:t>
      </w:r>
      <w:r w:rsidR="6FB5E806" w:rsidRPr="2FAF9C18">
        <w:rPr>
          <w:b/>
          <w:bCs/>
        </w:rPr>
        <w:t xml:space="preserve"> Figures 3 </w:t>
      </w:r>
      <w:r w:rsidR="5DD45217" w:rsidRPr="2FAF9C18">
        <w:rPr>
          <w:b/>
          <w:bCs/>
        </w:rPr>
        <w:t>–</w:t>
      </w:r>
      <w:r w:rsidR="6FB5E806" w:rsidRPr="2FAF9C18">
        <w:rPr>
          <w:b/>
          <w:bCs/>
        </w:rPr>
        <w:t xml:space="preserve"> </w:t>
      </w:r>
      <w:r w:rsidR="00672269">
        <w:rPr>
          <w:b/>
          <w:bCs/>
        </w:rPr>
        <w:t>8</w:t>
      </w:r>
      <w:r w:rsidR="5DD45217" w:rsidRPr="2FAF9C18">
        <w:rPr>
          <w:b/>
          <w:bCs/>
        </w:rPr>
        <w:t>.</w:t>
      </w:r>
    </w:p>
    <w:p w14:paraId="0D128630" w14:textId="77777777" w:rsidR="00A619E2" w:rsidRDefault="00A619E2">
      <w:pPr>
        <w:spacing w:before="0" w:after="240"/>
        <w:rPr>
          <w:rFonts w:asciiTheme="majorHAnsi" w:eastAsiaTheme="majorEastAsia" w:hAnsiTheme="majorHAnsi" w:cstheme="majorBidi"/>
          <w:b/>
          <w:color w:val="0070C0"/>
          <w:sz w:val="36"/>
          <w:szCs w:val="26"/>
        </w:rPr>
      </w:pPr>
      <w:bookmarkStart w:id="79" w:name="_Toc156487084"/>
      <w:r>
        <w:br w:type="page"/>
      </w:r>
    </w:p>
    <w:p w14:paraId="30DE95FC" w14:textId="2DE03308" w:rsidR="00873C35" w:rsidRDefault="00306C02" w:rsidP="00EC13D8">
      <w:pPr>
        <w:pStyle w:val="Heading2"/>
      </w:pPr>
      <w:bookmarkStart w:id="80" w:name="_Toc157413967"/>
      <w:r>
        <w:lastRenderedPageBreak/>
        <w:t xml:space="preserve">Provider </w:t>
      </w:r>
      <w:r w:rsidR="00656C7E" w:rsidRPr="00B026F3">
        <w:t>Performance</w:t>
      </w:r>
      <w:bookmarkEnd w:id="79"/>
      <w:bookmarkEnd w:id="80"/>
    </w:p>
    <w:p w14:paraId="53A85E6D" w14:textId="4BE263F6" w:rsidR="00A619E2" w:rsidRDefault="00B13E9B" w:rsidP="005C47FD">
      <w:pPr>
        <w:pStyle w:val="BodyText"/>
      </w:pPr>
      <w:r>
        <w:t xml:space="preserve">This evaluation includes </w:t>
      </w:r>
      <w:r w:rsidR="00C43C0D">
        <w:t xml:space="preserve">two </w:t>
      </w:r>
      <w:r w:rsidR="005E19A7" w:rsidRPr="00534D0E">
        <w:t>full year</w:t>
      </w:r>
      <w:r w:rsidR="00C43C0D">
        <w:t>s</w:t>
      </w:r>
      <w:r w:rsidR="005E19A7" w:rsidRPr="00534D0E">
        <w:t xml:space="preserve"> of provider reported </w:t>
      </w:r>
      <w:r>
        <w:t>process and outcome measure data and three years of structure measure data</w:t>
      </w:r>
      <w:r w:rsidR="005C47FD">
        <w:t>.</w:t>
      </w:r>
      <w:r>
        <w:t xml:space="preserve"> This </w:t>
      </w:r>
      <w:r w:rsidR="005E19A7" w:rsidRPr="00534D0E">
        <w:t xml:space="preserve">data </w:t>
      </w:r>
      <w:r>
        <w:t>is a preliminary look at how well providers are or are not</w:t>
      </w:r>
      <w:r w:rsidR="005E19A7" w:rsidRPr="00534D0E">
        <w:t xml:space="preserve"> </w:t>
      </w:r>
      <w:r w:rsidR="00E26A6C">
        <w:t>meeting</w:t>
      </w:r>
      <w:r w:rsidR="00E26A6C" w:rsidRPr="00534D0E">
        <w:t xml:space="preserve"> </w:t>
      </w:r>
      <w:r w:rsidR="005E19A7" w:rsidRPr="00534D0E">
        <w:t>the quality goals and objectives</w:t>
      </w:r>
      <w:r w:rsidR="005E19A7">
        <w:t xml:space="preserve"> of the program</w:t>
      </w:r>
      <w:r w:rsidR="00E26A6C">
        <w:t>s</w:t>
      </w:r>
      <w:r>
        <w:t xml:space="preserve"> as well as changes in their</w:t>
      </w:r>
      <w:r w:rsidR="00E26A6C">
        <w:t xml:space="preserve"> capacity to deliver high value care</w:t>
      </w:r>
      <w:r w:rsidR="00606479">
        <w:t>.</w:t>
      </w:r>
    </w:p>
    <w:p w14:paraId="5A04DFA5" w14:textId="28FA6729" w:rsidR="00C44210" w:rsidRDefault="002D6E4A" w:rsidP="005C47FD">
      <w:r>
        <w:t>The evaluation uses</w:t>
      </w:r>
      <w:r w:rsidR="00DE0FD5">
        <w:t xml:space="preserve"> </w:t>
      </w:r>
      <w:r w:rsidR="00F440A1">
        <w:t xml:space="preserve">CY </w:t>
      </w:r>
      <w:r>
        <w:t>2021 as the baseline year</w:t>
      </w:r>
      <w:r w:rsidR="005C47FD">
        <w:t xml:space="preserve"> for process and outcome measures</w:t>
      </w:r>
      <w:r>
        <w:t>. DPP BHS was approved by CMS in November 2021</w:t>
      </w:r>
      <w:r w:rsidR="00B13E9B">
        <w:t xml:space="preserve"> and</w:t>
      </w:r>
      <w:r>
        <w:t xml:space="preserve"> CHIRP, TIPPS and RAPPS were approved by CMS in March of 2022</w:t>
      </w:r>
      <w:r w:rsidR="005C47FD">
        <w:t xml:space="preserve">, as shown in </w:t>
      </w:r>
      <w:r w:rsidR="005C47FD" w:rsidRPr="005C47FD">
        <w:rPr>
          <w:b/>
          <w:bCs/>
        </w:rPr>
        <w:t xml:space="preserve">Figure </w:t>
      </w:r>
      <w:r w:rsidR="008760BD">
        <w:rPr>
          <w:b/>
          <w:bCs/>
        </w:rPr>
        <w:t>2</w:t>
      </w:r>
      <w:r w:rsidR="00B64077">
        <w:t xml:space="preserve">. </w:t>
      </w:r>
      <w:r w:rsidR="00B13E9B">
        <w:t>This evaluation does not reflect a full year of program implementation.</w:t>
      </w:r>
      <w:r w:rsidR="00B64077">
        <w:t xml:space="preserve"> </w:t>
      </w:r>
    </w:p>
    <w:p w14:paraId="30E4E4C2" w14:textId="65035754" w:rsidR="005C47FD" w:rsidRDefault="00B64077" w:rsidP="005C47FD">
      <w:pPr>
        <w:rPr>
          <w:noProof/>
        </w:rPr>
      </w:pPr>
      <w:r>
        <w:t>Additionally,</w:t>
      </w:r>
      <w:r w:rsidR="00B13E9B">
        <w:t xml:space="preserve"> </w:t>
      </w:r>
      <w:r w:rsidR="00265015">
        <w:t>e</w:t>
      </w:r>
      <w:r w:rsidR="00B13E9B">
        <w:t>valuation targets</w:t>
      </w:r>
      <w:r w:rsidR="00FC7BEA">
        <w:t xml:space="preserve"> </w:t>
      </w:r>
      <w:r w:rsidR="005C47FD">
        <w:t>for process and outcome measures</w:t>
      </w:r>
      <w:r w:rsidR="00B13E9B">
        <w:t xml:space="preserve"> were set in March 2023. Due to delays in program approvals and lags in claims data and reporting needed to establish baselines, </w:t>
      </w:r>
      <w:r w:rsidR="00FC7BEA">
        <w:t xml:space="preserve">these </w:t>
      </w:r>
      <w:r w:rsidR="00B13E9B">
        <w:t xml:space="preserve">targets </w:t>
      </w:r>
      <w:r w:rsidR="00FC7BEA">
        <w:t>apply to both</w:t>
      </w:r>
      <w:r w:rsidR="00B13E9B">
        <w:t xml:space="preserve"> 2022 </w:t>
      </w:r>
      <w:r w:rsidR="00FC7BEA">
        <w:t>and</w:t>
      </w:r>
      <w:r w:rsidR="00B13E9B">
        <w:t xml:space="preserve"> 2023. This gives providers part of 2022 and all of 2023 to demonstrate improvement. This evaluation only includes data for 2022. Data for 2023 will be included in the SFY2024 evaluation.</w:t>
      </w:r>
      <w:r w:rsidR="005C47FD" w:rsidRPr="005C47FD">
        <w:rPr>
          <w:noProof/>
        </w:rPr>
        <w:t xml:space="preserve"> </w:t>
      </w:r>
    </w:p>
    <w:p w14:paraId="7E6133F3" w14:textId="691B0B21" w:rsidR="005C47FD" w:rsidRPr="005C47FD" w:rsidRDefault="005C47FD" w:rsidP="005C47FD">
      <w:pPr>
        <w:pStyle w:val="BodyText"/>
        <w:rPr>
          <w:b/>
          <w:bCs/>
        </w:rPr>
      </w:pPr>
      <w:r w:rsidRPr="005E5BCF">
        <w:rPr>
          <w:b/>
          <w:bCs/>
        </w:rPr>
        <w:t xml:space="preserve">Figure </w:t>
      </w:r>
      <w:r w:rsidR="008760BD">
        <w:rPr>
          <w:b/>
          <w:bCs/>
        </w:rPr>
        <w:t>2:</w:t>
      </w:r>
      <w:r w:rsidRPr="005E5BCF">
        <w:rPr>
          <w:b/>
          <w:bCs/>
        </w:rPr>
        <w:t xml:space="preserve"> </w:t>
      </w:r>
      <w:r>
        <w:rPr>
          <w:b/>
          <w:bCs/>
        </w:rPr>
        <w:t xml:space="preserve">Process and Outcome Measures </w:t>
      </w:r>
      <w:r w:rsidRPr="005E5BCF">
        <w:rPr>
          <w:b/>
          <w:bCs/>
        </w:rPr>
        <w:t>Evaluation Data Timelin</w:t>
      </w:r>
      <w:r>
        <w:rPr>
          <w:b/>
          <w:bCs/>
        </w:rPr>
        <w:t>e</w:t>
      </w:r>
    </w:p>
    <w:p w14:paraId="126DF1A5" w14:textId="437E1679" w:rsidR="00873C35" w:rsidRDefault="00D31455" w:rsidP="002E757C">
      <w:pPr>
        <w:pStyle w:val="Heading3"/>
        <w:spacing w:before="0"/>
      </w:pPr>
      <w:r>
        <w:rPr>
          <w:noProof/>
        </w:rPr>
        <w:drawing>
          <wp:inline distT="0" distB="0" distL="0" distR="0" wp14:anchorId="61FB83A5" wp14:editId="5951AF23">
            <wp:extent cx="6343650" cy="2296795"/>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343650" cy="2296795"/>
                    </a:xfrm>
                    <a:prstGeom prst="rect">
                      <a:avLst/>
                    </a:prstGeom>
                  </pic:spPr>
                </pic:pic>
              </a:graphicData>
            </a:graphic>
          </wp:inline>
        </w:drawing>
      </w:r>
      <w:r w:rsidR="00E26A6C">
        <w:t>T</w:t>
      </w:r>
      <w:r w:rsidR="5457A167">
        <w:t>rends</w:t>
      </w:r>
      <w:r w:rsidR="79D4CB1C">
        <w:t xml:space="preserve"> in process and outcome measures</w:t>
      </w:r>
    </w:p>
    <w:p w14:paraId="5C811270" w14:textId="71DD190B" w:rsidR="00C43C0D" w:rsidRDefault="00C43C0D" w:rsidP="002E757C">
      <w:pPr>
        <w:pStyle w:val="BodyText"/>
        <w:spacing w:before="0"/>
      </w:pPr>
      <w:r>
        <w:t>Trends</w:t>
      </w:r>
      <w:r w:rsidR="00EC13D8">
        <w:t xml:space="preserve"> were identified by</w:t>
      </w:r>
      <w:r w:rsidR="00DD5A87">
        <w:t xml:space="preserve"> </w:t>
      </w:r>
      <w:r>
        <w:t xml:space="preserve">limiting data </w:t>
      </w:r>
      <w:r w:rsidR="00EC13D8">
        <w:t xml:space="preserve">that are reported </w:t>
      </w:r>
      <w:r w:rsidR="00F07B0B">
        <w:t>consistent</w:t>
      </w:r>
      <w:r w:rsidR="00EC13D8">
        <w:t>ly</w:t>
      </w:r>
      <w:r w:rsidR="00F07B0B">
        <w:t xml:space="preserve"> across program years</w:t>
      </w:r>
      <w:r w:rsidR="00EC13D8">
        <w:t xml:space="preserve"> (</w:t>
      </w:r>
      <w:r>
        <w:t>i.e., for measures reporting Medicaid Managed Car</w:t>
      </w:r>
      <w:r w:rsidR="008C3120">
        <w:t>e</w:t>
      </w:r>
      <w:r>
        <w:t xml:space="preserve">, </w:t>
      </w:r>
      <w:r w:rsidR="00EC13D8">
        <w:t xml:space="preserve">limiting </w:t>
      </w:r>
      <w:r>
        <w:t xml:space="preserve">year 1 data to </w:t>
      </w:r>
      <w:r w:rsidR="00767976">
        <w:t>reporting</w:t>
      </w:r>
      <w:r w:rsidR="00BD711B">
        <w:t xml:space="preserve"> by Medicaid </w:t>
      </w:r>
      <w:r w:rsidR="00AE2D6A">
        <w:t>m</w:t>
      </w:r>
      <w:r w:rsidR="00BD711B">
        <w:t xml:space="preserve">anaged </w:t>
      </w:r>
      <w:r w:rsidR="00AE2D6A">
        <w:t>c</w:t>
      </w:r>
      <w:r w:rsidR="00BD711B">
        <w:t>are</w:t>
      </w:r>
      <w:r w:rsidR="00EC13D8">
        <w:t>)</w:t>
      </w:r>
      <w:r w:rsidR="00767976" w:rsidRPr="00EC13D8">
        <w:t>.</w:t>
      </w:r>
      <w:r w:rsidR="00A619E2">
        <w:t xml:space="preserve"> </w:t>
      </w:r>
      <w:r w:rsidR="00A619E2" w:rsidRPr="003505D1">
        <w:t xml:space="preserve">Measure-specific performance details </w:t>
      </w:r>
      <w:r w:rsidR="00A619E2">
        <w:t xml:space="preserve">for all provider-reported measures with evaluation targets </w:t>
      </w:r>
      <w:r w:rsidR="00A619E2" w:rsidRPr="003505D1">
        <w:t xml:space="preserve">are summarized in </w:t>
      </w:r>
      <w:r w:rsidR="00A619E2" w:rsidRPr="00634D8D">
        <w:rPr>
          <w:b/>
          <w:bCs/>
        </w:rPr>
        <w:t>Appendix C</w:t>
      </w:r>
      <w:r w:rsidR="00A619E2">
        <w:t>.</w:t>
      </w:r>
    </w:p>
    <w:p w14:paraId="4C4B27BF" w14:textId="199310CC" w:rsidR="00C43C0D" w:rsidRDefault="00924259" w:rsidP="00C43C0D">
      <w:pPr>
        <w:pStyle w:val="BodyText"/>
      </w:pPr>
      <w:r>
        <w:t>Fifteen</w:t>
      </w:r>
      <w:r w:rsidR="00C43C0D" w:rsidRPr="00C43C0D">
        <w:t xml:space="preserve"> of the 24 </w:t>
      </w:r>
      <w:r>
        <w:t xml:space="preserve">provider-reported </w:t>
      </w:r>
      <w:r w:rsidR="00C43C0D" w:rsidRPr="00C43C0D">
        <w:t xml:space="preserve">program-specific measures with evaluation targets showed </w:t>
      </w:r>
      <w:r>
        <w:t>an improvement</w:t>
      </w:r>
      <w:r w:rsidR="00C43C0D" w:rsidRPr="00C43C0D">
        <w:t xml:space="preserve"> in the median performance rate between 2021 and 2022</w:t>
      </w:r>
      <w:r>
        <w:t>, while one showed no change and eight showed a decline</w:t>
      </w:r>
      <w:r w:rsidR="008C5ECB">
        <w:t>.</w:t>
      </w:r>
      <w:r w:rsidR="00C43C0D" w:rsidRPr="00C43C0D">
        <w:t xml:space="preserve"> </w:t>
      </w:r>
      <w:r w:rsidR="00B13E9B">
        <w:t>Seven measures met the 202</w:t>
      </w:r>
      <w:r w:rsidR="00F7541E">
        <w:t>2</w:t>
      </w:r>
      <w:r w:rsidR="00B13E9B">
        <w:t xml:space="preserve"> evaluation target</w:t>
      </w:r>
      <w:r w:rsidR="00F7541E">
        <w:t>, although the targets were set retroactively and do not reflect a full year of program implementation.</w:t>
      </w:r>
    </w:p>
    <w:p w14:paraId="1168631E" w14:textId="1E8DF4AF" w:rsidR="00C44210" w:rsidRPr="002E757C" w:rsidRDefault="00C44210" w:rsidP="00C43C0D">
      <w:pPr>
        <w:pStyle w:val="BodyText"/>
        <w:rPr>
          <w:b/>
          <w:bCs/>
        </w:rPr>
      </w:pPr>
      <w:r w:rsidRPr="002E757C">
        <w:rPr>
          <w:b/>
          <w:bCs/>
        </w:rPr>
        <w:lastRenderedPageBreak/>
        <w:t xml:space="preserve">Figure </w:t>
      </w:r>
      <w:r w:rsidR="008760BD">
        <w:rPr>
          <w:b/>
          <w:bCs/>
        </w:rPr>
        <w:t>3:</w:t>
      </w:r>
      <w:r w:rsidRPr="002E757C">
        <w:rPr>
          <w:b/>
          <w:bCs/>
        </w:rPr>
        <w:t xml:space="preserve"> Provider Reported Evaluation Measure Trends </w:t>
      </w:r>
      <w:r>
        <w:rPr>
          <w:b/>
          <w:bCs/>
        </w:rPr>
        <w:t xml:space="preserve">2021 - </w:t>
      </w:r>
      <w:r w:rsidRPr="002E757C">
        <w:rPr>
          <w:b/>
          <w:bCs/>
        </w:rPr>
        <w:t>2022</w:t>
      </w:r>
    </w:p>
    <w:p w14:paraId="47E170FC" w14:textId="59E54060" w:rsidR="00C44210" w:rsidRDefault="00D31455" w:rsidP="002E757C">
      <w:pPr>
        <w:pStyle w:val="BodyText"/>
        <w:spacing w:before="0"/>
        <w:jc w:val="center"/>
      </w:pPr>
      <w:r>
        <w:rPr>
          <w:noProof/>
        </w:rPr>
        <w:drawing>
          <wp:inline distT="0" distB="0" distL="0" distR="0" wp14:anchorId="4AE37898" wp14:editId="2BCEB515">
            <wp:extent cx="6343650" cy="3097530"/>
            <wp:effectExtent l="0" t="0" r="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343650" cy="3097530"/>
                    </a:xfrm>
                    <a:prstGeom prst="rect">
                      <a:avLst/>
                    </a:prstGeom>
                  </pic:spPr>
                </pic:pic>
              </a:graphicData>
            </a:graphic>
          </wp:inline>
        </w:drawing>
      </w:r>
    </w:p>
    <w:p w14:paraId="12725F2F" w14:textId="05AF15EE" w:rsidR="00C44210" w:rsidRDefault="00D1266E" w:rsidP="00C43C0D">
      <w:pPr>
        <w:pStyle w:val="BodyText"/>
      </w:pPr>
      <w:r>
        <w:t xml:space="preserve">Three of the measures that saw declines in performance from 2021 to 2022 were immunization measures (these include the TIPPS Childhood Immunization Status measure and the TIPPS and RAPPS Influenza Immunization measures). The decline in immunization measures mirrors </w:t>
      </w:r>
      <w:r w:rsidR="00BC2A66">
        <w:t xml:space="preserve">national </w:t>
      </w:r>
      <w:r>
        <w:t>trend</w:t>
      </w:r>
      <w:r w:rsidR="008E5B12">
        <w:t>s</w:t>
      </w:r>
      <w:r>
        <w:t xml:space="preserve">. </w:t>
      </w:r>
      <w:r w:rsidR="008E5B12">
        <w:t xml:space="preserve">The national average for the Childhood Immunization Status measure, for example, was 35.94% in 2021 and 31.86% in 2022. Despite this decline, </w:t>
      </w:r>
      <w:r>
        <w:t xml:space="preserve">TIPPS did see an improvement in the Immunizations for Adolescents measure from 2021 to 2022. </w:t>
      </w:r>
    </w:p>
    <w:p w14:paraId="1B6957AB" w14:textId="72BA7233" w:rsidR="00451CC8" w:rsidRDefault="00C43C0D" w:rsidP="00C43C0D">
      <w:pPr>
        <w:pStyle w:val="BodyText"/>
      </w:pPr>
      <w:r>
        <w:t xml:space="preserve">HHSC currently has two strategies underway to improve performance on </w:t>
      </w:r>
      <w:r w:rsidR="00CD0D96">
        <w:t>DPP</w:t>
      </w:r>
      <w:r>
        <w:t xml:space="preserve"> measures</w:t>
      </w:r>
      <w:r w:rsidR="008C5ECB">
        <w:t>:</w:t>
      </w:r>
      <w:r w:rsidR="004541C0">
        <w:t xml:space="preserve"> enhanced provider education and transitioning some programs to include pay-for-performance.</w:t>
      </w:r>
    </w:p>
    <w:p w14:paraId="4D2B63B1" w14:textId="383A525D" w:rsidR="00C43C0D" w:rsidRDefault="00C43C0D" w:rsidP="00C43C0D">
      <w:pPr>
        <w:pStyle w:val="Heading4"/>
      </w:pPr>
      <w:r w:rsidRPr="00C43C0D">
        <w:t>Strategy 1: Enhanced Provider Education</w:t>
      </w:r>
    </w:p>
    <w:p w14:paraId="250622DE" w14:textId="2954646A" w:rsidR="00B43811" w:rsidRDefault="00C43C0D" w:rsidP="00C43C0D">
      <w:pPr>
        <w:pStyle w:val="BodyText"/>
        <w:rPr>
          <w:b/>
          <w:bCs/>
        </w:rPr>
      </w:pPr>
      <w:r>
        <w:t xml:space="preserve">HHSC staff published a data visualization tool that compares each participating provider’s performance to other participating providers and the evaluation target. This tool will help providers monitor their progress toward meeting the evaluation targets and help </w:t>
      </w:r>
      <w:r w:rsidR="007D7206">
        <w:t xml:space="preserve">providers </w:t>
      </w:r>
      <w:r>
        <w:t>determine where to focus their performance improvement efforts</w:t>
      </w:r>
      <w:r w:rsidR="00B37721">
        <w:t xml:space="preserve">, see </w:t>
      </w:r>
      <w:r w:rsidR="00B43811">
        <w:rPr>
          <w:b/>
          <w:bCs/>
        </w:rPr>
        <w:t xml:space="preserve">Figure </w:t>
      </w:r>
      <w:r w:rsidR="008760BD">
        <w:rPr>
          <w:b/>
          <w:bCs/>
        </w:rPr>
        <w:t>4.</w:t>
      </w:r>
    </w:p>
    <w:p w14:paraId="5743848C" w14:textId="77777777" w:rsidR="004541C0" w:rsidRDefault="004541C0" w:rsidP="004541C0">
      <w:pPr>
        <w:pStyle w:val="BodyText"/>
      </w:pPr>
      <w:r>
        <w:t xml:space="preserve">In July of 2023, HHSC staff launched a new training for participating providers, the Measure Spotlight Series. These virtual trainings provide an overview of specific measures, measure specifications, and performance to date. Providers can ask questions about the featured measures and discuss strategies for quality improvement. To date, staff has hosted nine trainings. </w:t>
      </w:r>
    </w:p>
    <w:p w14:paraId="5440D7E8" w14:textId="1FDFE2EB" w:rsidR="004541C0" w:rsidRDefault="004541C0" w:rsidP="004541C0">
      <w:pPr>
        <w:pStyle w:val="BodyText"/>
      </w:pPr>
      <w:r>
        <w:lastRenderedPageBreak/>
        <w:t>HHSC staff will continue to focus on additional opportunities for education and technical assistance to increase the adoption of best practices in SFY</w:t>
      </w:r>
      <w:r w:rsidR="007D7206">
        <w:t xml:space="preserve"> </w:t>
      </w:r>
      <w:r>
        <w:t>2025.</w:t>
      </w:r>
    </w:p>
    <w:p w14:paraId="33CB6E0D" w14:textId="4CF826E9" w:rsidR="00B43811" w:rsidRPr="002E757C" w:rsidRDefault="00B43811" w:rsidP="00C43C0D">
      <w:pPr>
        <w:pStyle w:val="BodyText"/>
        <w:rPr>
          <w:b/>
          <w:bCs/>
        </w:rPr>
      </w:pPr>
      <w:r w:rsidRPr="002E757C">
        <w:rPr>
          <w:b/>
          <w:bCs/>
        </w:rPr>
        <w:t xml:space="preserve">Figure </w:t>
      </w:r>
      <w:r w:rsidR="008760BD">
        <w:rPr>
          <w:b/>
          <w:bCs/>
        </w:rPr>
        <w:t>4</w:t>
      </w:r>
      <w:r w:rsidRPr="002E757C">
        <w:rPr>
          <w:b/>
          <w:bCs/>
        </w:rPr>
        <w:t xml:space="preserve">: Sample Data Visualization Scorecard for a CHIRP Hospital </w:t>
      </w:r>
    </w:p>
    <w:p w14:paraId="27A975D7" w14:textId="3653FC77" w:rsidR="00C43C0D" w:rsidRDefault="00B43811" w:rsidP="002E757C">
      <w:pPr>
        <w:pStyle w:val="BodyText"/>
        <w:spacing w:before="0"/>
        <w:ind w:left="-540" w:firstLine="180"/>
        <w:jc w:val="center"/>
      </w:pPr>
      <w:r>
        <w:rPr>
          <w:noProof/>
        </w:rPr>
        <w:drawing>
          <wp:inline distT="0" distB="0" distL="0" distR="0" wp14:anchorId="5D8905E9" wp14:editId="5F56D396">
            <wp:extent cx="6103219" cy="4294246"/>
            <wp:effectExtent l="76200" t="38100" r="69215" b="1066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13179" cy="4301254"/>
                    </a:xfrm>
                    <a:prstGeom prst="rect">
                      <a:avLst/>
                    </a:prstGeom>
                    <a:ln>
                      <a:solidFill>
                        <a:schemeClr val="bg2"/>
                      </a:solidFill>
                    </a:ln>
                    <a:effectLst>
                      <a:outerShdw blurRad="50800" dist="38100" dir="5400000" algn="t" rotWithShape="0">
                        <a:prstClr val="black">
                          <a:alpha val="40000"/>
                        </a:prstClr>
                      </a:outerShdw>
                    </a:effectLst>
                  </pic:spPr>
                </pic:pic>
              </a:graphicData>
            </a:graphic>
          </wp:inline>
        </w:drawing>
      </w:r>
    </w:p>
    <w:p w14:paraId="7662CD61" w14:textId="275C502A" w:rsidR="00C43C0D" w:rsidRDefault="00C43C0D" w:rsidP="00C43C0D">
      <w:pPr>
        <w:pStyle w:val="Heading4"/>
      </w:pPr>
      <w:r w:rsidRPr="00C43C0D">
        <w:t xml:space="preserve">Strategy </w:t>
      </w:r>
      <w:r>
        <w:t>2</w:t>
      </w:r>
      <w:r w:rsidRPr="00C43C0D">
        <w:t xml:space="preserve">: </w:t>
      </w:r>
      <w:r>
        <w:t>Pay-for-</w:t>
      </w:r>
      <w:proofErr w:type="gramStart"/>
      <w:r>
        <w:t>Performance</w:t>
      </w:r>
      <w:proofErr w:type="gramEnd"/>
    </w:p>
    <w:p w14:paraId="633EB224" w14:textId="0F27E101" w:rsidR="00E632B4" w:rsidRDefault="00C43C0D" w:rsidP="00C43C0D">
      <w:pPr>
        <w:pStyle w:val="BodyText"/>
      </w:pPr>
      <w:r w:rsidRPr="00C43C0D">
        <w:t xml:space="preserve">HHSC is </w:t>
      </w:r>
      <w:r w:rsidR="00121ED3">
        <w:t xml:space="preserve">proposing to </w:t>
      </w:r>
      <w:r w:rsidRPr="00C43C0D">
        <w:t xml:space="preserve">shift </w:t>
      </w:r>
      <w:r w:rsidR="008A3961">
        <w:t xml:space="preserve">a portion of program payment </w:t>
      </w:r>
      <w:r w:rsidRPr="00C43C0D">
        <w:t>to pay-for-performance for CHIRP in SFY 2025</w:t>
      </w:r>
      <w:r w:rsidR="008A3961">
        <w:t xml:space="preserve">. </w:t>
      </w:r>
      <w:r w:rsidR="00E632B4" w:rsidRPr="00E632B4">
        <w:t>PC-02 Cesarean Section</w:t>
      </w:r>
      <w:r w:rsidR="00E632B4">
        <w:t>, one of the CHIRP measures that saw a decline in the median rate from 2021 to 2022, will become a pay-for-performance measur</w:t>
      </w:r>
      <w:r w:rsidR="00121ED3">
        <w:t>e</w:t>
      </w:r>
      <w:r w:rsidR="00E632B4">
        <w:t>.</w:t>
      </w:r>
    </w:p>
    <w:p w14:paraId="6ED96C86" w14:textId="4E0E8768" w:rsidR="00C43C0D" w:rsidRPr="00C43C0D" w:rsidRDefault="00121ED3" w:rsidP="00C43C0D">
      <w:pPr>
        <w:pStyle w:val="BodyText"/>
      </w:pPr>
      <w:r>
        <w:t xml:space="preserve">HHSC is also proposing to shift </w:t>
      </w:r>
      <w:r w:rsidR="00C43C0D" w:rsidRPr="00C43C0D">
        <w:t xml:space="preserve">TIPPS </w:t>
      </w:r>
      <w:r w:rsidR="008A3961">
        <w:t xml:space="preserve">towards pay-for-performance </w:t>
      </w:r>
      <w:r w:rsidR="00C43C0D" w:rsidRPr="00C43C0D">
        <w:t>in SFY 2026, which would further incentivize improvements in quality performance</w:t>
      </w:r>
      <w:r>
        <w:t>. T</w:t>
      </w:r>
      <w:r w:rsidR="006D7353">
        <w:t>he TIPPS measures that will move to pay-for-performance are not yet determined</w:t>
      </w:r>
      <w:r>
        <w:t>. HHSC will review current performance trends and work with stakeholders in 2024 to identify measures for pay-for-performance</w:t>
      </w:r>
      <w:r w:rsidR="006D7353">
        <w:t xml:space="preserve">. </w:t>
      </w:r>
    </w:p>
    <w:p w14:paraId="3340DD56" w14:textId="4E01867D" w:rsidR="00873C35" w:rsidRDefault="79D4CB1C" w:rsidP="00EC13D8">
      <w:pPr>
        <w:pStyle w:val="Heading3"/>
      </w:pPr>
      <w:r>
        <w:lastRenderedPageBreak/>
        <w:t xml:space="preserve">Changes in structure measure adoption </w:t>
      </w:r>
    </w:p>
    <w:p w14:paraId="24C394DA" w14:textId="221DA1FB" w:rsidR="00EC778E" w:rsidRPr="003B09DD" w:rsidRDefault="00506D84">
      <w:pPr>
        <w:pStyle w:val="BodyText"/>
        <w:rPr>
          <w:color w:val="000000"/>
          <w:szCs w:val="22"/>
        </w:rPr>
      </w:pPr>
      <w:r w:rsidRPr="002E7861">
        <w:t xml:space="preserve">Across </w:t>
      </w:r>
      <w:r w:rsidR="000D03C7" w:rsidRPr="002E7861">
        <w:t xml:space="preserve">the </w:t>
      </w:r>
      <w:r w:rsidRPr="002E7861">
        <w:t xml:space="preserve">four DPPs, </w:t>
      </w:r>
      <w:r w:rsidR="00525EFE" w:rsidRPr="002E7861">
        <w:t xml:space="preserve">participating providers </w:t>
      </w:r>
      <w:r w:rsidRPr="002E7861">
        <w:t>report</w:t>
      </w:r>
      <w:r w:rsidR="000D03C7" w:rsidRPr="002E7861">
        <w:t>ed</w:t>
      </w:r>
      <w:r w:rsidRPr="002E7861">
        <w:t xml:space="preserve"> on</w:t>
      </w:r>
      <w:r w:rsidR="00DD1300" w:rsidRPr="002E7861">
        <w:t xml:space="preserve"> </w:t>
      </w:r>
      <w:r w:rsidR="00577F46" w:rsidRPr="002E7861">
        <w:t xml:space="preserve">the </w:t>
      </w:r>
      <w:r w:rsidR="00DD1300" w:rsidRPr="002E7861">
        <w:t>adoption of</w:t>
      </w:r>
      <w:r w:rsidRPr="002E7861">
        <w:t xml:space="preserve"> </w:t>
      </w:r>
      <w:r w:rsidR="00112A34" w:rsidRPr="002E7861">
        <w:t xml:space="preserve">14 </w:t>
      </w:r>
      <w:r w:rsidRPr="002E7861">
        <w:t>structure measures</w:t>
      </w:r>
      <w:r w:rsidR="00BE36BA" w:rsidRPr="002E7861">
        <w:t xml:space="preserve"> in</w:t>
      </w:r>
      <w:r w:rsidR="00112A34" w:rsidRPr="002E7861">
        <w:t xml:space="preserve"> SFY 2024</w:t>
      </w:r>
      <w:r w:rsidR="00A07F18">
        <w:t xml:space="preserve">. </w:t>
      </w:r>
      <w:r w:rsidR="00EC778E" w:rsidRPr="003B09DD">
        <w:rPr>
          <w:color w:val="000000"/>
          <w:szCs w:val="22"/>
        </w:rPr>
        <w:t xml:space="preserve">The following </w:t>
      </w:r>
      <w:r w:rsidR="00C5120C" w:rsidRPr="003B09DD">
        <w:rPr>
          <w:color w:val="000000"/>
          <w:szCs w:val="22"/>
        </w:rPr>
        <w:t xml:space="preserve">structure </w:t>
      </w:r>
      <w:r w:rsidR="00EC778E" w:rsidRPr="003B09DD">
        <w:rPr>
          <w:color w:val="000000"/>
          <w:szCs w:val="22"/>
        </w:rPr>
        <w:t xml:space="preserve">measures showed the greatest </w:t>
      </w:r>
      <w:r w:rsidR="00306C02">
        <w:rPr>
          <w:color w:val="000000"/>
          <w:szCs w:val="22"/>
        </w:rPr>
        <w:t>improvement</w:t>
      </w:r>
      <w:r w:rsidR="00306C02" w:rsidRPr="003B09DD">
        <w:rPr>
          <w:color w:val="000000"/>
          <w:szCs w:val="22"/>
        </w:rPr>
        <w:t xml:space="preserve"> </w:t>
      </w:r>
      <w:r w:rsidR="00EC778E" w:rsidRPr="003B09DD">
        <w:rPr>
          <w:color w:val="000000"/>
          <w:szCs w:val="22"/>
        </w:rPr>
        <w:t>in the percent of providers implementing the measures:</w:t>
      </w:r>
    </w:p>
    <w:p w14:paraId="5E0C835F" w14:textId="43E1F690" w:rsidR="00EC778E" w:rsidRPr="003B09DD" w:rsidRDefault="00EC778E" w:rsidP="002D6E4A">
      <w:pPr>
        <w:pStyle w:val="BodyText"/>
        <w:numPr>
          <w:ilvl w:val="0"/>
          <w:numId w:val="22"/>
        </w:numPr>
        <w:spacing w:before="120"/>
        <w:rPr>
          <w:color w:val="000000"/>
          <w:szCs w:val="22"/>
        </w:rPr>
      </w:pPr>
      <w:r w:rsidRPr="003B09DD">
        <w:rPr>
          <w:color w:val="000000"/>
          <w:szCs w:val="22"/>
        </w:rPr>
        <w:t>CHIRP: Written transition procedures that include formal MCO relationship or EDEN notification/ADT Feed for non-psychiatric patients: 19%</w:t>
      </w:r>
    </w:p>
    <w:p w14:paraId="4EBCBC0B" w14:textId="7E4AF225" w:rsidR="00EC778E" w:rsidRPr="003B09DD" w:rsidRDefault="00EC778E" w:rsidP="002D6E4A">
      <w:pPr>
        <w:pStyle w:val="BodyText"/>
        <w:numPr>
          <w:ilvl w:val="0"/>
          <w:numId w:val="22"/>
        </w:numPr>
        <w:spacing w:before="120"/>
        <w:rPr>
          <w:color w:val="000000"/>
          <w:szCs w:val="22"/>
        </w:rPr>
      </w:pPr>
      <w:r w:rsidRPr="003B09DD">
        <w:rPr>
          <w:color w:val="000000"/>
          <w:szCs w:val="22"/>
        </w:rPr>
        <w:t>DPP BHS: Provide integrated physical and behavioral health care services to children and adults with serious mental illness: 7%</w:t>
      </w:r>
    </w:p>
    <w:p w14:paraId="27EAE9B1" w14:textId="7324E849" w:rsidR="00A07F18" w:rsidRPr="002D6E4A" w:rsidRDefault="00506D84" w:rsidP="00CD2854">
      <w:pPr>
        <w:pStyle w:val="BodyText"/>
        <w:rPr>
          <w:color w:val="000000"/>
          <w:szCs w:val="22"/>
        </w:rPr>
      </w:pPr>
      <w:r w:rsidRPr="00647504">
        <w:rPr>
          <w:color w:val="000000"/>
          <w:szCs w:val="22"/>
        </w:rPr>
        <w:t xml:space="preserve">Many </w:t>
      </w:r>
      <w:r w:rsidR="00525EFE" w:rsidRPr="00647504">
        <w:rPr>
          <w:color w:val="000000"/>
          <w:szCs w:val="22"/>
        </w:rPr>
        <w:t xml:space="preserve">participating providers </w:t>
      </w:r>
      <w:r w:rsidRPr="00647504">
        <w:rPr>
          <w:color w:val="000000"/>
          <w:szCs w:val="22"/>
        </w:rPr>
        <w:t>report</w:t>
      </w:r>
      <w:r w:rsidR="00525EFE" w:rsidRPr="00647504">
        <w:rPr>
          <w:color w:val="000000"/>
          <w:szCs w:val="22"/>
        </w:rPr>
        <w:t>ed</w:t>
      </w:r>
      <w:r w:rsidRPr="00647504">
        <w:rPr>
          <w:color w:val="000000"/>
          <w:szCs w:val="22"/>
        </w:rPr>
        <w:t xml:space="preserve"> that their decision to implement a structure measure was influenced by </w:t>
      </w:r>
      <w:r w:rsidR="00E61CC1" w:rsidRPr="00647504">
        <w:rPr>
          <w:color w:val="000000"/>
          <w:szCs w:val="22"/>
        </w:rPr>
        <w:t xml:space="preserve">the </w:t>
      </w:r>
      <w:r w:rsidRPr="00647504">
        <w:rPr>
          <w:color w:val="000000"/>
          <w:szCs w:val="22"/>
        </w:rPr>
        <w:t xml:space="preserve">DPP. </w:t>
      </w:r>
      <w:r w:rsidR="00CD2854">
        <w:rPr>
          <w:color w:val="000000"/>
          <w:szCs w:val="22"/>
        </w:rPr>
        <w:t>In SFY</w:t>
      </w:r>
      <w:r w:rsidR="007D19ED">
        <w:rPr>
          <w:color w:val="000000"/>
          <w:szCs w:val="22"/>
        </w:rPr>
        <w:t xml:space="preserve"> </w:t>
      </w:r>
      <w:r w:rsidR="00CD2854">
        <w:rPr>
          <w:color w:val="000000"/>
          <w:szCs w:val="22"/>
        </w:rPr>
        <w:t>2024, 90 percent of DPP BHS providers report that structure measure implementation is being influenced by DPP, followed by 58 percent of TIPPS providers, 46 percent of RAPPS providers and 34 percent of CHIRP providers.</w:t>
      </w:r>
    </w:p>
    <w:p w14:paraId="6DCC25E7" w14:textId="6AFEB77E" w:rsidR="0069045C" w:rsidRPr="007E6598" w:rsidRDefault="00121ED3">
      <w:pPr>
        <w:pStyle w:val="BodyText"/>
        <w:rPr>
          <w:rStyle w:val="Heading3Char"/>
        </w:rPr>
      </w:pPr>
      <w:r>
        <w:rPr>
          <w:rStyle w:val="Heading3Char"/>
        </w:rPr>
        <w:t>Update</w:t>
      </w:r>
      <w:r w:rsidR="00A07F18">
        <w:rPr>
          <w:rStyle w:val="Heading3Char"/>
        </w:rPr>
        <w:t>s</w:t>
      </w:r>
      <w:r>
        <w:rPr>
          <w:rStyle w:val="Heading3Char"/>
        </w:rPr>
        <w:t xml:space="preserve"> on</w:t>
      </w:r>
      <w:r w:rsidR="05F0759B" w:rsidRPr="2FAF9C18">
        <w:rPr>
          <w:rStyle w:val="Heading3Char"/>
        </w:rPr>
        <w:t xml:space="preserve"> </w:t>
      </w:r>
      <w:r w:rsidR="11DAF839" w:rsidRPr="2FAF9C18">
        <w:rPr>
          <w:rStyle w:val="Heading3Char"/>
        </w:rPr>
        <w:t>H</w:t>
      </w:r>
      <w:r w:rsidR="78C5F785" w:rsidRPr="2FAF9C18">
        <w:rPr>
          <w:rStyle w:val="Heading3Char"/>
        </w:rPr>
        <w:t>ealth Information Exchange</w:t>
      </w:r>
    </w:p>
    <w:p w14:paraId="26390451" w14:textId="7999787C" w:rsidR="001871CE" w:rsidRDefault="00C43D8A" w:rsidP="002D6E4A">
      <w:pPr>
        <w:pStyle w:val="Heading4"/>
        <w:spacing w:before="120"/>
      </w:pPr>
      <w:r>
        <w:t xml:space="preserve">HIE </w:t>
      </w:r>
      <w:r w:rsidR="00A07F18">
        <w:t xml:space="preserve">in </w:t>
      </w:r>
      <w:r w:rsidR="001871CE">
        <w:t>CHIRP</w:t>
      </w:r>
    </w:p>
    <w:p w14:paraId="4BEA0985" w14:textId="4232BBCA" w:rsidR="00750276" w:rsidRDefault="00853515" w:rsidP="002D6E4A">
      <w:pPr>
        <w:pStyle w:val="BodyText"/>
        <w:spacing w:before="0"/>
      </w:pPr>
      <w:r>
        <w:t xml:space="preserve">There are </w:t>
      </w:r>
      <w:r w:rsidR="00BB1D97">
        <w:t>391 hospitals participat</w:t>
      </w:r>
      <w:r>
        <w:t>ing</w:t>
      </w:r>
      <w:r w:rsidR="004E476F">
        <w:t xml:space="preserve"> </w:t>
      </w:r>
      <w:r w:rsidR="00BB1D97">
        <w:t>in CHIRP</w:t>
      </w:r>
      <w:r>
        <w:t xml:space="preserve"> in SFY 2024.</w:t>
      </w:r>
      <w:r w:rsidR="00BB1D97">
        <w:t xml:space="preserve"> Of these 391 hospitals, 308 (79 percent) connect with an HIE or </w:t>
      </w:r>
      <w:r>
        <w:t>use</w:t>
      </w:r>
      <w:r w:rsidR="00BB1D97">
        <w:t xml:space="preserve"> an electronic health record (EHR) with HIE capabilities</w:t>
      </w:r>
      <w:r w:rsidR="001214AF">
        <w:t>. This represents</w:t>
      </w:r>
      <w:r w:rsidR="00641E11">
        <w:t xml:space="preserve"> a </w:t>
      </w:r>
      <w:r w:rsidR="00BC3B76">
        <w:t>15-percentage</w:t>
      </w:r>
      <w:r w:rsidR="00641E11">
        <w:t xml:space="preserve"> point increase from SFY 2022</w:t>
      </w:r>
      <w:r w:rsidR="00CB5182">
        <w:t>.</w:t>
      </w:r>
    </w:p>
    <w:p w14:paraId="39E91137" w14:textId="2636AB65" w:rsidR="00750276" w:rsidRDefault="00E85AC8" w:rsidP="009B3E94">
      <w:pPr>
        <w:pStyle w:val="BodyText"/>
      </w:pPr>
      <w:r w:rsidRPr="0024208E">
        <w:t xml:space="preserve">Rural hospitals had the largest percentage increase in the use of HIEs or EHRs with HIE capabilities </w:t>
      </w:r>
      <w:r w:rsidR="00750276">
        <w:t xml:space="preserve">from SFY 2022 to SFY 2024 </w:t>
      </w:r>
      <w:r w:rsidRPr="0024208E">
        <w:t xml:space="preserve">of all the classes, and </w:t>
      </w:r>
      <w:r w:rsidR="00B4456A" w:rsidRPr="0024208E">
        <w:t>c</w:t>
      </w:r>
      <w:r w:rsidRPr="0024208E">
        <w:t xml:space="preserve">hildren’s hospitals achieved 100 percent adoption. </w:t>
      </w:r>
      <w:r w:rsidR="000E2A70" w:rsidRPr="0024208E">
        <w:t xml:space="preserve">IMDs and </w:t>
      </w:r>
      <w:r w:rsidR="00B4456A" w:rsidRPr="0024208E">
        <w:t>s</w:t>
      </w:r>
      <w:r w:rsidR="000E2A70" w:rsidRPr="0024208E">
        <w:t>tate-</w:t>
      </w:r>
      <w:r w:rsidR="00B4456A" w:rsidRPr="0024208E">
        <w:t>o</w:t>
      </w:r>
      <w:r w:rsidR="000E2A70" w:rsidRPr="0024208E">
        <w:t xml:space="preserve">wned </w:t>
      </w:r>
      <w:r w:rsidR="00B4456A" w:rsidRPr="0024208E">
        <w:t>n</w:t>
      </w:r>
      <w:r w:rsidR="000E2A70" w:rsidRPr="0024208E">
        <w:t>on-IMD hospitals did not substantially change their HIE participation.</w:t>
      </w:r>
    </w:p>
    <w:p w14:paraId="1A5A092D" w14:textId="3C29EAAD" w:rsidR="00185538" w:rsidRPr="002E757C" w:rsidRDefault="00185538" w:rsidP="009B3E94">
      <w:pPr>
        <w:pStyle w:val="BodyText"/>
        <w:rPr>
          <w:b/>
          <w:bCs/>
        </w:rPr>
      </w:pPr>
      <w:r w:rsidRPr="002E757C">
        <w:rPr>
          <w:b/>
          <w:bCs/>
        </w:rPr>
        <w:t xml:space="preserve">Figure </w:t>
      </w:r>
      <w:r w:rsidR="008760BD">
        <w:rPr>
          <w:b/>
          <w:bCs/>
        </w:rPr>
        <w:t>5</w:t>
      </w:r>
      <w:r w:rsidRPr="002E757C">
        <w:rPr>
          <w:b/>
          <w:bCs/>
        </w:rPr>
        <w:t>: Percentage of CHIRP Hospitals Participating in HIE by Class</w:t>
      </w:r>
    </w:p>
    <w:p w14:paraId="2653612D" w14:textId="3E1CC957" w:rsidR="00010C47" w:rsidRDefault="00010C47" w:rsidP="002D6E4A">
      <w:pPr>
        <w:pStyle w:val="BodyText"/>
        <w:spacing w:before="0"/>
      </w:pPr>
      <w:r>
        <w:rPr>
          <w:noProof/>
        </w:rPr>
        <w:drawing>
          <wp:inline distT="0" distB="0" distL="0" distR="0" wp14:anchorId="7164EB37" wp14:editId="36C32218">
            <wp:extent cx="6000750" cy="2616761"/>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5D75AC46" w14:textId="77777777" w:rsidR="00D02CE6" w:rsidRDefault="000E2A70" w:rsidP="009B3E94">
      <w:pPr>
        <w:pStyle w:val="BodyText"/>
      </w:pPr>
      <w:r>
        <w:lastRenderedPageBreak/>
        <w:t>N</w:t>
      </w:r>
      <w:r w:rsidR="00345931">
        <w:t xml:space="preserve">ot all participants that connect to HIEs or use EHRs with HIE capabilities send data to </w:t>
      </w:r>
      <w:proofErr w:type="spellStart"/>
      <w:r w:rsidR="00345931">
        <w:t>HIETexas</w:t>
      </w:r>
      <w:proofErr w:type="spellEnd"/>
      <w:r w:rsidR="00345931">
        <w:t xml:space="preserve"> </w:t>
      </w:r>
      <w:r w:rsidR="009619A4">
        <w:t xml:space="preserve">Emergency Department Encounter Notifications (EDEN) </w:t>
      </w:r>
      <w:r w:rsidR="00345931">
        <w:t xml:space="preserve">as referenced in </w:t>
      </w:r>
      <w:r w:rsidR="00345931" w:rsidRPr="009503CF">
        <w:t>the</w:t>
      </w:r>
      <w:r w:rsidR="00345931">
        <w:t xml:space="preserve"> </w:t>
      </w:r>
      <w:r w:rsidR="009503CF">
        <w:t>Texas</w:t>
      </w:r>
      <w:r w:rsidR="005970C7" w:rsidRPr="00EC13D8">
        <w:rPr>
          <w:i/>
          <w:iCs/>
        </w:rPr>
        <w:t xml:space="preserve"> H</w:t>
      </w:r>
      <w:r w:rsidR="009503CF">
        <w:rPr>
          <w:i/>
          <w:iCs/>
        </w:rPr>
        <w:t xml:space="preserve">ealth </w:t>
      </w:r>
      <w:r w:rsidR="005970C7" w:rsidRPr="00EC13D8">
        <w:rPr>
          <w:i/>
          <w:iCs/>
        </w:rPr>
        <w:t>I</w:t>
      </w:r>
      <w:r w:rsidR="009503CF">
        <w:rPr>
          <w:i/>
          <w:iCs/>
        </w:rPr>
        <w:t>nformation</w:t>
      </w:r>
      <w:r w:rsidR="00BD5982">
        <w:rPr>
          <w:i/>
          <w:iCs/>
        </w:rPr>
        <w:t xml:space="preserve"> Technology</w:t>
      </w:r>
      <w:r w:rsidR="005970C7" w:rsidRPr="00EC13D8">
        <w:rPr>
          <w:i/>
          <w:iCs/>
        </w:rPr>
        <w:t xml:space="preserve"> Strategic Plan</w:t>
      </w:r>
      <w:r w:rsidR="00345931">
        <w:t>.</w:t>
      </w:r>
      <w:r w:rsidR="009503CF">
        <w:rPr>
          <w:rStyle w:val="FootnoteReference"/>
        </w:rPr>
        <w:footnoteReference w:id="10"/>
      </w:r>
      <w:r w:rsidR="009503CF">
        <w:t xml:space="preserve"> </w:t>
      </w:r>
      <w:r w:rsidR="00345931">
        <w:t xml:space="preserve">For example, while </w:t>
      </w:r>
      <w:r w:rsidR="001F3DE6">
        <w:t>94</w:t>
      </w:r>
      <w:r w:rsidR="00345931">
        <w:t xml:space="preserve"> percent of urban hospitals connect to an HIE, </w:t>
      </w:r>
      <w:r w:rsidR="00345931" w:rsidRPr="00770FDC">
        <w:t xml:space="preserve">only </w:t>
      </w:r>
      <w:r w:rsidR="001F3DE6" w:rsidRPr="00770FDC">
        <w:t>3</w:t>
      </w:r>
      <w:r w:rsidR="00E90103" w:rsidRPr="00770FDC">
        <w:t>4</w:t>
      </w:r>
      <w:r w:rsidR="00345931" w:rsidRPr="00770FDC">
        <w:t xml:space="preserve"> percent sent data to </w:t>
      </w:r>
      <w:proofErr w:type="spellStart"/>
      <w:r w:rsidR="00345931" w:rsidRPr="00770FDC">
        <w:t>HIETexas</w:t>
      </w:r>
      <w:proofErr w:type="spellEnd"/>
      <w:r w:rsidR="00345931" w:rsidRPr="00770FDC">
        <w:t xml:space="preserve"> EDEN as of August 31, 202</w:t>
      </w:r>
      <w:r w:rsidR="001F3DE6" w:rsidRPr="00770FDC">
        <w:t>3</w:t>
      </w:r>
      <w:r w:rsidR="00345931" w:rsidRPr="00770FDC">
        <w:t>.</w:t>
      </w:r>
      <w:r w:rsidR="00345931">
        <w:t xml:space="preserve"> </w:t>
      </w:r>
    </w:p>
    <w:p w14:paraId="58AAECAA" w14:textId="5D38FF6B" w:rsidR="009B3E94" w:rsidRDefault="00B6202F" w:rsidP="009B3E94">
      <w:pPr>
        <w:pStyle w:val="BodyText"/>
      </w:pPr>
      <w:r>
        <w:t>Still</w:t>
      </w:r>
      <w:r w:rsidR="00D02CE6">
        <w:t>, t</w:t>
      </w:r>
      <w:r w:rsidR="00345931">
        <w:t>he percentage of all CHIRP hospitals</w:t>
      </w:r>
      <w:r w:rsidR="008A4E25">
        <w:t xml:space="preserve"> connected to HIEs or using EHRs with HIE capabilities</w:t>
      </w:r>
      <w:r w:rsidR="00345931">
        <w:t xml:space="preserve"> </w:t>
      </w:r>
      <w:r w:rsidR="0024208E">
        <w:t>that</w:t>
      </w:r>
      <w:r w:rsidR="008257EC">
        <w:t xml:space="preserve"> send</w:t>
      </w:r>
      <w:r w:rsidR="00345931">
        <w:t xml:space="preserve"> data to </w:t>
      </w:r>
      <w:proofErr w:type="spellStart"/>
      <w:r w:rsidR="00345931">
        <w:t>HIETexas</w:t>
      </w:r>
      <w:proofErr w:type="spellEnd"/>
      <w:r w:rsidR="00345931">
        <w:t xml:space="preserve"> EDEN </w:t>
      </w:r>
      <w:r>
        <w:t xml:space="preserve">has been rising – it </w:t>
      </w:r>
      <w:r w:rsidR="00345931" w:rsidRPr="00B6202F">
        <w:t>increased from 27 percent</w:t>
      </w:r>
      <w:r>
        <w:t xml:space="preserve"> in SFY 2022 t</w:t>
      </w:r>
      <w:r w:rsidR="00345931" w:rsidRPr="00B6202F">
        <w:t xml:space="preserve">o </w:t>
      </w:r>
      <w:r w:rsidR="008257EC" w:rsidRPr="00B6202F">
        <w:t>40</w:t>
      </w:r>
      <w:r w:rsidR="00345931" w:rsidRPr="00B6202F">
        <w:t xml:space="preserve"> percent</w:t>
      </w:r>
      <w:r w:rsidR="009503CF" w:rsidRPr="00B6202F">
        <w:t xml:space="preserve"> </w:t>
      </w:r>
      <w:r>
        <w:t>in</w:t>
      </w:r>
      <w:r w:rsidR="00730CD7" w:rsidRPr="00B6202F">
        <w:t xml:space="preserve"> SFY 2024</w:t>
      </w:r>
      <w:r w:rsidR="00345931" w:rsidRPr="00B6202F">
        <w:t>.</w:t>
      </w:r>
      <w:r w:rsidR="00345931">
        <w:t xml:space="preserve"> </w:t>
      </w:r>
      <w:r w:rsidR="00DF2700">
        <w:t>EDEN is the first step in Texas Medicaid’s use of clinical data to facilitate care coordination by sending out notifications about patient’s admission, discharge, and transfers from hospitals.</w:t>
      </w:r>
    </w:p>
    <w:p w14:paraId="0E71A87C" w14:textId="3E0A7B45" w:rsidR="009B3E94" w:rsidRDefault="00336EE4" w:rsidP="00CF0F0C">
      <w:pPr>
        <w:pStyle w:val="BodyText"/>
      </w:pPr>
      <w:r w:rsidRPr="00AB312E">
        <w:t xml:space="preserve">More hospitals indicated they had written </w:t>
      </w:r>
      <w:r w:rsidR="00AB312E">
        <w:t>protocols for</w:t>
      </w:r>
      <w:r w:rsidRPr="00AB312E">
        <w:t xml:space="preserve"> notify</w:t>
      </w:r>
      <w:r w:rsidR="00AB312E">
        <w:t>ing</w:t>
      </w:r>
      <w:r w:rsidRPr="00AB312E">
        <w:t xml:space="preserve"> MCOs of patient transitions </w:t>
      </w:r>
      <w:r w:rsidR="009503CF" w:rsidRPr="00AB312E">
        <w:t>in</w:t>
      </w:r>
      <w:r w:rsidR="009D188C" w:rsidRPr="00AB312E">
        <w:t xml:space="preserve"> SFY 2024 than they did in SFY 2022</w:t>
      </w:r>
      <w:r w:rsidRPr="00AB312E">
        <w:t xml:space="preserve"> for both psychi</w:t>
      </w:r>
      <w:r w:rsidR="00A62535" w:rsidRPr="00AB312E">
        <w:t xml:space="preserve">atric </w:t>
      </w:r>
      <w:r w:rsidR="009D188C" w:rsidRPr="00AB312E">
        <w:t xml:space="preserve">patients </w:t>
      </w:r>
      <w:r w:rsidR="00A62535" w:rsidRPr="00AB312E">
        <w:t>(</w:t>
      </w:r>
      <w:r w:rsidR="009D188C" w:rsidRPr="00AB312E">
        <w:t>10</w:t>
      </w:r>
      <w:r w:rsidR="00A62535" w:rsidRPr="00AB312E">
        <w:t xml:space="preserve"> more hospitals) and non-psychiatric patients (</w:t>
      </w:r>
      <w:r w:rsidR="009D188C" w:rsidRPr="00AB312E">
        <w:t>29</w:t>
      </w:r>
      <w:r w:rsidR="00A62535" w:rsidRPr="00AB312E">
        <w:t xml:space="preserve"> more hospitals).</w:t>
      </w:r>
      <w:r w:rsidR="00A62535">
        <w:t xml:space="preserve"> </w:t>
      </w:r>
    </w:p>
    <w:p w14:paraId="4880EC0C" w14:textId="689183EE" w:rsidR="001871CE" w:rsidRDefault="00C43D8A" w:rsidP="001871CE">
      <w:pPr>
        <w:pStyle w:val="Heading4"/>
      </w:pPr>
      <w:r>
        <w:t xml:space="preserve">HIE in </w:t>
      </w:r>
      <w:r w:rsidR="001871CE">
        <w:t>TIPPS</w:t>
      </w:r>
      <w:r>
        <w:t>, RAPPS, &amp; DP</w:t>
      </w:r>
      <w:r w:rsidR="00FC3034">
        <w:t>P</w:t>
      </w:r>
      <w:r>
        <w:t xml:space="preserve"> BHS</w:t>
      </w:r>
    </w:p>
    <w:p w14:paraId="19ACCD81" w14:textId="53453403" w:rsidR="00DF6F74" w:rsidRDefault="00DF6F74" w:rsidP="003B4B6C">
      <w:pPr>
        <w:pStyle w:val="BodyTextafterheading"/>
        <w:spacing w:after="120"/>
      </w:pPr>
      <w:r>
        <w:t>Beginning in SFY 2024, all TIPPS, RAPPS and DPP BHS participants are required to report the HIE structure measure. The percentage of providers connected with an HIE or using an EHR with HIE capabilities continues to be lower in DPP BHS than the other three DPPs.</w:t>
      </w:r>
    </w:p>
    <w:p w14:paraId="748CE380" w14:textId="2573D2F0" w:rsidR="00FB07B3" w:rsidRDefault="004541C0" w:rsidP="00FB07B3">
      <w:pPr>
        <w:pStyle w:val="BodyText"/>
        <w:rPr>
          <w:b/>
          <w:bCs/>
        </w:rPr>
      </w:pPr>
      <w:r>
        <w:rPr>
          <w:b/>
          <w:bCs/>
        </w:rPr>
        <w:t xml:space="preserve">Figure </w:t>
      </w:r>
      <w:r w:rsidR="008760BD">
        <w:rPr>
          <w:b/>
          <w:bCs/>
        </w:rPr>
        <w:t>6</w:t>
      </w:r>
      <w:r w:rsidR="00FB07B3" w:rsidRPr="00FB07B3">
        <w:rPr>
          <w:b/>
          <w:bCs/>
        </w:rPr>
        <w:t xml:space="preserve">: HIE and </w:t>
      </w:r>
      <w:proofErr w:type="spellStart"/>
      <w:r w:rsidR="00FB07B3" w:rsidRPr="00FB07B3">
        <w:rPr>
          <w:b/>
          <w:bCs/>
        </w:rPr>
        <w:t>HIETexas</w:t>
      </w:r>
      <w:proofErr w:type="spellEnd"/>
      <w:r w:rsidR="00FB07B3" w:rsidRPr="00FB07B3">
        <w:rPr>
          <w:b/>
          <w:bCs/>
        </w:rPr>
        <w:t xml:space="preserve"> EDEN in CHIRP, TIPPS, RAPPS, and DPP BHS</w:t>
      </w:r>
    </w:p>
    <w:p w14:paraId="4C96D9CF" w14:textId="1D3B2080" w:rsidR="004541C0" w:rsidRPr="00FB07B3" w:rsidRDefault="004541C0" w:rsidP="00FB07B3">
      <w:pPr>
        <w:pStyle w:val="BodyText"/>
        <w:rPr>
          <w:b/>
          <w:bCs/>
        </w:rPr>
      </w:pPr>
      <w:r>
        <w:rPr>
          <w:noProof/>
        </w:rPr>
        <w:drawing>
          <wp:inline distT="0" distB="0" distL="0" distR="0" wp14:anchorId="005AA2B9" wp14:editId="37745486">
            <wp:extent cx="6337300" cy="3011213"/>
            <wp:effectExtent l="0" t="0" r="6350" b="0"/>
            <wp:docPr id="13" name="Chart 13">
              <a:extLst xmlns:a="http://schemas.openxmlformats.org/drawingml/2006/main">
                <a:ext uri="{FF2B5EF4-FFF2-40B4-BE49-F238E27FC236}">
                  <a16:creationId xmlns:a16="http://schemas.microsoft.com/office/drawing/2014/main" id="{8BD88A65-9A0E-A268-459D-BA61E2C033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351A7BB" w14:textId="77777777" w:rsidR="00A07F18" w:rsidRDefault="00A07F18" w:rsidP="003B4B6C">
      <w:pPr>
        <w:pStyle w:val="BodyText"/>
      </w:pPr>
      <w:r>
        <w:br w:type="page"/>
      </w:r>
    </w:p>
    <w:p w14:paraId="55C3D1C5" w14:textId="7D90AA66" w:rsidR="00727F4C" w:rsidRPr="007E6598" w:rsidRDefault="00727F4C" w:rsidP="003B09DD">
      <w:pPr>
        <w:spacing w:before="0" w:after="240"/>
        <w:rPr>
          <w:rStyle w:val="Heading3Char"/>
        </w:rPr>
      </w:pPr>
      <w:r w:rsidRPr="2FAF9C18">
        <w:rPr>
          <w:rStyle w:val="Heading3Char"/>
        </w:rPr>
        <w:lastRenderedPageBreak/>
        <w:t xml:space="preserve">Deep dive on </w:t>
      </w:r>
      <w:r>
        <w:rPr>
          <w:rStyle w:val="Heading3Char"/>
        </w:rPr>
        <w:t>non-medical drivers of health (NMDOH)</w:t>
      </w:r>
      <w:r w:rsidRPr="2FAF9C18">
        <w:rPr>
          <w:rStyle w:val="Heading3Char"/>
        </w:rPr>
        <w:t xml:space="preserve"> </w:t>
      </w:r>
      <w:r>
        <w:rPr>
          <w:rStyle w:val="Heading3Char"/>
        </w:rPr>
        <w:t xml:space="preserve">screening and follow-up plan best </w:t>
      </w:r>
      <w:proofErr w:type="gramStart"/>
      <w:r>
        <w:rPr>
          <w:rStyle w:val="Heading3Char"/>
        </w:rPr>
        <w:t>practices</w:t>
      </w:r>
      <w:proofErr w:type="gramEnd"/>
      <w:r>
        <w:rPr>
          <w:rStyle w:val="Heading3Char"/>
        </w:rPr>
        <w:t xml:space="preserve"> </w:t>
      </w:r>
    </w:p>
    <w:p w14:paraId="43B1D417" w14:textId="6D897857" w:rsidR="00163DA1" w:rsidRDefault="00F8626E" w:rsidP="00727F4C">
      <w:pPr>
        <w:pStyle w:val="BodyText"/>
      </w:pPr>
      <w:r>
        <w:t>Non-medical drivers of health (NMDOH) are the conditions in the place where people live, learn, work, and play that affect a wide range of health risks and outcomes.</w:t>
      </w:r>
      <w:r w:rsidR="00E163B8">
        <w:rPr>
          <w:rStyle w:val="FootnoteReference"/>
        </w:rPr>
        <w:footnoteReference w:id="11"/>
      </w:r>
      <w:r>
        <w:t xml:space="preserve"> </w:t>
      </w:r>
      <w:r w:rsidR="002A0DA7">
        <w:t xml:space="preserve">In SFY 2024 CHIRP, RAPPS, and DPP BHS participating providers reported </w:t>
      </w:r>
      <w:r w:rsidR="002A0DA7" w:rsidRPr="002A0DA7">
        <w:t xml:space="preserve">on </w:t>
      </w:r>
      <w:r w:rsidR="00163DA1">
        <w:t xml:space="preserve">their </w:t>
      </w:r>
      <w:r w:rsidR="002A0DA7" w:rsidRPr="002A0DA7">
        <w:t>status</w:t>
      </w:r>
      <w:r w:rsidR="00163DA1">
        <w:t xml:space="preserve"> of implementing</w:t>
      </w:r>
      <w:r w:rsidR="002A0DA7" w:rsidRPr="002A0DA7">
        <w:t xml:space="preserve"> </w:t>
      </w:r>
      <w:r w:rsidR="00163DA1">
        <w:t xml:space="preserve">any best practices related to </w:t>
      </w:r>
      <w:r w:rsidR="004C20E4">
        <w:t>screening and follow-up planning</w:t>
      </w:r>
      <w:r w:rsidR="008C07B3">
        <w:t xml:space="preserve"> for non-medical needs including but not limited to food, housing, and transportation</w:t>
      </w:r>
      <w:r w:rsidR="005C7711">
        <w:t xml:space="preserve"> needs</w:t>
      </w:r>
      <w:r w:rsidR="004C20E4">
        <w:t>.</w:t>
      </w:r>
      <w:r w:rsidR="00163DA1">
        <w:t xml:space="preserve"> </w:t>
      </w:r>
    </w:p>
    <w:p w14:paraId="3BCF91B5" w14:textId="46259C16" w:rsidR="00E066A6" w:rsidRDefault="005C7711" w:rsidP="00E066A6">
      <w:pPr>
        <w:pStyle w:val="BodyText"/>
        <w:spacing w:before="360" w:after="240"/>
      </w:pPr>
      <w:r w:rsidRPr="005C7711">
        <w:t xml:space="preserve">As shown in </w:t>
      </w:r>
      <w:r w:rsidRPr="00672269">
        <w:rPr>
          <w:b/>
          <w:bCs/>
        </w:rPr>
        <w:t xml:space="preserve">Figure </w:t>
      </w:r>
      <w:r w:rsidR="008760BD" w:rsidRPr="00672269">
        <w:rPr>
          <w:b/>
          <w:bCs/>
        </w:rPr>
        <w:t>7</w:t>
      </w:r>
      <w:r w:rsidRPr="005C7711">
        <w:t>, 60% (235/391) of CHIRP providers, 49% (88/181) of RAPPS providers, and 46% (18/39) of DPP BHS providers have already implemented a process in place for screening and documenting non-medical needs, and almost all DPP providers plan to have NMDOH screening practices implemented by August 31, 2024.</w:t>
      </w:r>
    </w:p>
    <w:p w14:paraId="6D7D1482" w14:textId="77777777" w:rsidR="00CF67FE" w:rsidRDefault="005C7711" w:rsidP="003B4B6C">
      <w:pPr>
        <w:pStyle w:val="BodyText"/>
        <w:spacing w:before="360" w:after="240"/>
      </w:pPr>
      <w:r w:rsidRPr="005C7711">
        <w:t>Even though many DPP providers have started to screen their patients for non-medical needs, there is a variation of screening and follow-up plan practices being used, such as which screening tools, types of non-medical needs, and follow-up plans and actions. Additionally, very few DPP providers stated they are sharing the NMDOH screening data with MCOs, suggesting there are opportunities for DPP providers, MCOs, and CBOs to share data and coordinate follow-up plans and delivery of services to shared clients.</w:t>
      </w:r>
    </w:p>
    <w:p w14:paraId="0B6AF3EE" w14:textId="2042F4A0" w:rsidR="00564DDE" w:rsidRPr="002E757C" w:rsidRDefault="00CF67FE" w:rsidP="002E757C">
      <w:pPr>
        <w:pStyle w:val="BodyText"/>
        <w:spacing w:before="0" w:after="240"/>
        <w:rPr>
          <w:b/>
          <w:bCs/>
        </w:rPr>
      </w:pPr>
      <w:r w:rsidRPr="00CF67FE">
        <w:rPr>
          <w:b/>
          <w:bCs/>
        </w:rPr>
        <w:t xml:space="preserve">Figure </w:t>
      </w:r>
      <w:r w:rsidR="008760BD">
        <w:rPr>
          <w:b/>
          <w:bCs/>
        </w:rPr>
        <w:t>7</w:t>
      </w:r>
      <w:r w:rsidRPr="00CF67FE">
        <w:rPr>
          <w:b/>
          <w:bCs/>
        </w:rPr>
        <w:t>: Percentage of DPP Participating Providers that implemented NMDOH Screening Practices as of Aug 31, 2023</w:t>
      </w:r>
      <w:r w:rsidR="00FB07B3">
        <w:br/>
      </w:r>
      <w:r w:rsidR="00564DDE">
        <w:rPr>
          <w:noProof/>
        </w:rPr>
        <w:drawing>
          <wp:inline distT="0" distB="0" distL="0" distR="0" wp14:anchorId="15AC9258" wp14:editId="6939B9C3">
            <wp:extent cx="6097905" cy="2790497"/>
            <wp:effectExtent l="0" t="0" r="0" b="0"/>
            <wp:docPr id="16" name="Chart 16">
              <a:extLst xmlns:a="http://schemas.openxmlformats.org/drawingml/2006/main">
                <a:ext uri="{FF2B5EF4-FFF2-40B4-BE49-F238E27FC236}">
                  <a16:creationId xmlns:a16="http://schemas.microsoft.com/office/drawing/2014/main" id="{5DCD98FE-DC21-045F-8150-6AA86EC8E1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D5A7750" w14:textId="6C3276ED" w:rsidR="005E19A7" w:rsidRDefault="149829E9" w:rsidP="007E6598">
      <w:pPr>
        <w:pStyle w:val="Heading3"/>
      </w:pPr>
      <w:r>
        <w:lastRenderedPageBreak/>
        <w:t>Relationship Between Structure Measure Adoption</w:t>
      </w:r>
      <w:r w:rsidR="32B74977">
        <w:t xml:space="preserve"> and Performance</w:t>
      </w:r>
    </w:p>
    <w:p w14:paraId="7E34E8A7" w14:textId="565C0115" w:rsidR="00944063" w:rsidRDefault="003A0147" w:rsidP="007C73F6">
      <w:pPr>
        <w:pStyle w:val="BodyText"/>
      </w:pPr>
      <w:r w:rsidRPr="007E6598">
        <w:t xml:space="preserve">HHSC conducted a supplemental analysis </w:t>
      </w:r>
      <w:r w:rsidR="007125C4" w:rsidRPr="007E6598">
        <w:t>of provider reporting</w:t>
      </w:r>
      <w:r w:rsidR="009D3D96" w:rsidRPr="007E6598">
        <w:t xml:space="preserve"> from SFY</w:t>
      </w:r>
      <w:r w:rsidR="007B7322">
        <w:t xml:space="preserve"> </w:t>
      </w:r>
      <w:r w:rsidR="009D3D96" w:rsidRPr="007E6598">
        <w:t>202</w:t>
      </w:r>
      <w:r w:rsidR="003850B8">
        <w:t>3</w:t>
      </w:r>
      <w:r w:rsidR="007125C4" w:rsidRPr="007E6598">
        <w:t xml:space="preserve"> </w:t>
      </w:r>
      <w:r w:rsidRPr="007E6598">
        <w:t xml:space="preserve">to better understand the relationship between the implementation </w:t>
      </w:r>
      <w:r w:rsidR="007125C4" w:rsidRPr="007E6598">
        <w:t>of structure measures and performance on process and outcome measures,</w:t>
      </w:r>
      <w:r w:rsidR="007125C4">
        <w:t xml:space="preserve"> using a </w:t>
      </w:r>
      <w:proofErr w:type="spellStart"/>
      <w:r w:rsidR="007125C4">
        <w:t>tobit</w:t>
      </w:r>
      <w:proofErr w:type="spellEnd"/>
      <w:r w:rsidR="007125C4">
        <w:t xml:space="preserve"> regression model as outlined in the SFY</w:t>
      </w:r>
      <w:r w:rsidR="007B7322">
        <w:t xml:space="preserve"> </w:t>
      </w:r>
      <w:r w:rsidR="007125C4">
        <w:t>202</w:t>
      </w:r>
      <w:r w:rsidR="003850B8">
        <w:t>3</w:t>
      </w:r>
      <w:r w:rsidR="007125C4">
        <w:t xml:space="preserve"> Evaluation Plan.</w:t>
      </w:r>
    </w:p>
    <w:p w14:paraId="384AC657" w14:textId="5092C2CA" w:rsidR="007C73F6" w:rsidRDefault="003F7FA2" w:rsidP="007C73F6">
      <w:pPr>
        <w:pStyle w:val="BodyText"/>
      </w:pPr>
      <w:r>
        <w:t xml:space="preserve">Across 29 </w:t>
      </w:r>
      <w:proofErr w:type="spellStart"/>
      <w:r>
        <w:t>tobit</w:t>
      </w:r>
      <w:proofErr w:type="spellEnd"/>
      <w:r>
        <w:t xml:space="preserve"> regression models, 11 statistically significant associations emerged between structure measures and DPP performance measures (see </w:t>
      </w:r>
      <w:r w:rsidRPr="003B09DD">
        <w:rPr>
          <w:b/>
          <w:bCs/>
        </w:rPr>
        <w:t xml:space="preserve">Table </w:t>
      </w:r>
      <w:r w:rsidR="008760BD">
        <w:rPr>
          <w:b/>
          <w:bCs/>
        </w:rPr>
        <w:t>2</w:t>
      </w:r>
      <w:r>
        <w:t xml:space="preserve">). The largest associations were found in the desired directionality for CHIRP, DPP BHS, and TIPPS providers. </w:t>
      </w:r>
      <w:r w:rsidR="00E47CF6">
        <w:t xml:space="preserve">After controlling for provider characteristics, CHIRP providers </w:t>
      </w:r>
      <w:r>
        <w:t>who participated in a healthcare quality learning collaborative had lower hospital-onset Clostridium difficile infection (CDI) rates</w:t>
      </w:r>
      <w:r w:rsidR="006F75DF">
        <w:t xml:space="preserve">. </w:t>
      </w:r>
      <w:r w:rsidR="004B2AF9">
        <w:t>DPP BHS providers who provided integrated physical and behavioral health care services to children and adults with serious mental illness were more likely to screen for unhealthy alcohol use and provide brief counseling</w:t>
      </w:r>
      <w:r w:rsidR="006F75DF">
        <w:t xml:space="preserve">, </w:t>
      </w:r>
      <w:r w:rsidR="004B2AF9">
        <w:t>if necessary. TIPPS providers with a Patient-Centered Medical Home (PCMH) accreditation or recognition status were more likely to provide immunizations to children under two years of age and observe a response to treatment twelve months after a patient’s depressive event.</w:t>
      </w:r>
    </w:p>
    <w:p w14:paraId="27A7CA54" w14:textId="5DEC60BF" w:rsidR="007C73F6" w:rsidRDefault="007C73F6" w:rsidP="007C73F6">
      <w:pPr>
        <w:pStyle w:val="BodyText"/>
      </w:pPr>
      <w:r>
        <w:t xml:space="preserve">In addition to the large effects reported above, medium-sized effects were found in the desired direction for </w:t>
      </w:r>
      <w:r w:rsidR="004B2AF9">
        <w:t>all four DPPs</w:t>
      </w:r>
      <w:r>
        <w:t xml:space="preserve">. After controlling for provider characteristics, </w:t>
      </w:r>
      <w:r w:rsidR="004B2AF9">
        <w:t>participation in a health information exchange</w:t>
      </w:r>
      <w:r w:rsidR="006F75DF">
        <w:t xml:space="preserve"> </w:t>
      </w:r>
      <w:r w:rsidR="004B2AF9">
        <w:t>integration of physical and behavioral health</w:t>
      </w:r>
      <w:r w:rsidR="006F75DF">
        <w:t>,</w:t>
      </w:r>
      <w:r w:rsidR="004B2AF9">
        <w:t xml:space="preserve"> having personnel in a care coordination role not requiring clinical licensure</w:t>
      </w:r>
      <w:r w:rsidR="006F75DF">
        <w:t>,</w:t>
      </w:r>
      <w:r w:rsidR="004B2AF9">
        <w:t xml:space="preserve"> and having a PCMH status were associated with moderate improvements in select DPP performance measures (see </w:t>
      </w:r>
      <w:r w:rsidR="004B2AF9" w:rsidRPr="00672269">
        <w:rPr>
          <w:b/>
          <w:bCs/>
        </w:rPr>
        <w:t xml:space="preserve">Table </w:t>
      </w:r>
      <w:r w:rsidR="008760BD" w:rsidRPr="00672269">
        <w:rPr>
          <w:b/>
          <w:bCs/>
        </w:rPr>
        <w:t>2</w:t>
      </w:r>
      <w:r w:rsidR="004B2AF9">
        <w:t>), compared to providers who did not implement these structure measures.</w:t>
      </w:r>
    </w:p>
    <w:p w14:paraId="53CFD88E" w14:textId="3693144D" w:rsidR="007C73F6" w:rsidRDefault="007C73F6" w:rsidP="00873BD4">
      <w:pPr>
        <w:pStyle w:val="BodyText"/>
      </w:pPr>
      <w:r>
        <w:t xml:space="preserve">Lastly, </w:t>
      </w:r>
      <w:r w:rsidR="004B2AF9">
        <w:t xml:space="preserve">one </w:t>
      </w:r>
      <w:r>
        <w:t xml:space="preserve">structure measure </w:t>
      </w:r>
      <w:r w:rsidR="004B2AF9">
        <w:t xml:space="preserve">was </w:t>
      </w:r>
      <w:r>
        <w:t>associated with change in the non-desired direction</w:t>
      </w:r>
      <w:r w:rsidR="004B2AF9">
        <w:t>:</w:t>
      </w:r>
      <w:r>
        <w:t xml:space="preserve"> After controlling for provider characteristics, CHIRP providers who </w:t>
      </w:r>
      <w:r w:rsidR="004B2AF9">
        <w:t>implemented written transition procedures had higher central line-associated bloodstream infection (CLABSI) rates.</w:t>
      </w:r>
      <w:r w:rsidR="00E066A6">
        <w:t xml:space="preserve"> This may indicate differences in capacity or case complexity rather than a correlation between CLABSI rates and transition planning.</w:t>
      </w:r>
    </w:p>
    <w:p w14:paraId="0E06DABA" w14:textId="5EC18093" w:rsidR="004B2AF9" w:rsidRDefault="004B2AF9" w:rsidP="00873BD4">
      <w:pPr>
        <w:pStyle w:val="BodyText"/>
      </w:pPr>
      <w:r>
        <w:t>Notably, only one finding from Year 1 persisted into Year 2: TIPPS providers with a PCMH status were</w:t>
      </w:r>
      <w:r w:rsidR="006F75DF">
        <w:t xml:space="preserve"> more likely to screen for depression and develop a follow-up plan, if necessary.</w:t>
      </w:r>
    </w:p>
    <w:p w14:paraId="406E68BC" w14:textId="324B10EA" w:rsidR="006F75DF" w:rsidRDefault="006F75DF" w:rsidP="00873BD4">
      <w:pPr>
        <w:pStyle w:val="BodyText"/>
      </w:pPr>
      <w:r>
        <w:t>Collectively, these results suggest a slightly positive relationship between the structure measures and DPP performance measures. The relationship between the structure measures and DPP performance measures will continue to be explored as additional years of data become available.</w:t>
      </w:r>
    </w:p>
    <w:p w14:paraId="21EEF877" w14:textId="40F78D75" w:rsidR="005E19A7" w:rsidRDefault="005E19A7">
      <w:pPr>
        <w:spacing w:before="0" w:after="240"/>
      </w:pPr>
      <w:r>
        <w:br w:type="page"/>
      </w:r>
    </w:p>
    <w:p w14:paraId="748B4B37" w14:textId="0D7FEC75" w:rsidR="007C73F6" w:rsidRPr="007C73F6" w:rsidRDefault="70C24851" w:rsidP="39065E54">
      <w:pPr>
        <w:keepNext/>
        <w:spacing w:before="60" w:after="60"/>
        <w:rPr>
          <w:rFonts w:ascii="Verdana" w:eastAsia="Verdana" w:hAnsi="Verdana" w:cs="Times New Roman"/>
          <w:b/>
          <w:bCs/>
          <w:color w:val="000000"/>
          <w:sz w:val="20"/>
        </w:rPr>
      </w:pPr>
      <w:bookmarkStart w:id="81" w:name="_Ref118291693"/>
      <w:bookmarkStart w:id="82" w:name="_Ref118291725"/>
      <w:r w:rsidRPr="39065E54">
        <w:rPr>
          <w:rFonts w:ascii="Verdana" w:eastAsia="Verdana" w:hAnsi="Verdana" w:cs="Times New Roman"/>
          <w:b/>
          <w:bCs/>
          <w:color w:val="000000" w:themeColor="text2"/>
          <w:sz w:val="20"/>
        </w:rPr>
        <w:lastRenderedPageBreak/>
        <w:t xml:space="preserve">Table </w:t>
      </w:r>
      <w:bookmarkEnd w:id="81"/>
      <w:r w:rsidR="008760BD">
        <w:rPr>
          <w:rFonts w:ascii="Verdana" w:eastAsia="Verdana" w:hAnsi="Verdana" w:cs="Times New Roman"/>
          <w:b/>
          <w:bCs/>
          <w:color w:val="000000" w:themeColor="text2"/>
          <w:sz w:val="20"/>
        </w:rPr>
        <w:t>2</w:t>
      </w:r>
      <w:r w:rsidR="00FB07B3">
        <w:rPr>
          <w:rFonts w:ascii="Verdana" w:eastAsia="Verdana" w:hAnsi="Verdana" w:cs="Times New Roman"/>
          <w:b/>
          <w:bCs/>
          <w:color w:val="000000" w:themeColor="text2"/>
          <w:sz w:val="20"/>
        </w:rPr>
        <w:t>:</w:t>
      </w:r>
      <w:r w:rsidRPr="39065E54">
        <w:rPr>
          <w:rFonts w:ascii="Verdana" w:eastAsia="Verdana" w:hAnsi="Verdana" w:cs="Times New Roman"/>
          <w:b/>
          <w:bCs/>
          <w:color w:val="000000" w:themeColor="text2"/>
          <w:sz w:val="20"/>
        </w:rPr>
        <w:t xml:space="preserve"> </w:t>
      </w:r>
      <w:r w:rsidR="38F2D130" w:rsidRPr="39065E54">
        <w:rPr>
          <w:rFonts w:ascii="Verdana" w:eastAsia="Verdana" w:hAnsi="Verdana" w:cs="Times New Roman"/>
          <w:b/>
          <w:bCs/>
          <w:color w:val="000000" w:themeColor="text2"/>
          <w:sz w:val="20"/>
        </w:rPr>
        <w:t xml:space="preserve">Year 2 </w:t>
      </w:r>
      <w:r w:rsidRPr="39065E54">
        <w:rPr>
          <w:rFonts w:ascii="Verdana" w:eastAsia="Verdana" w:hAnsi="Verdana" w:cs="Times New Roman"/>
          <w:b/>
          <w:bCs/>
          <w:color w:val="000000" w:themeColor="text2"/>
          <w:sz w:val="20"/>
        </w:rPr>
        <w:t>Statistically Significant Tobit Regression Model Results</w:t>
      </w:r>
      <w:bookmarkEnd w:id="82"/>
    </w:p>
    <w:tbl>
      <w:tblPr>
        <w:tblStyle w:val="HHSTableforTextData2"/>
        <w:tblW w:w="10620" w:type="dxa"/>
        <w:tblInd w:w="-635" w:type="dxa"/>
        <w:tblLook w:val="04A0" w:firstRow="1" w:lastRow="0" w:firstColumn="1" w:lastColumn="0" w:noHBand="0" w:noVBand="1"/>
      </w:tblPr>
      <w:tblGrid>
        <w:gridCol w:w="1078"/>
        <w:gridCol w:w="3238"/>
        <w:gridCol w:w="2524"/>
        <w:gridCol w:w="1253"/>
        <w:gridCol w:w="1178"/>
        <w:gridCol w:w="1349"/>
      </w:tblGrid>
      <w:tr w:rsidR="00EF15AF" w:rsidRPr="007C73F6" w14:paraId="5CB53A05" w14:textId="77777777" w:rsidTr="002E757C">
        <w:trPr>
          <w:cnfStyle w:val="100000000000" w:firstRow="1" w:lastRow="0" w:firstColumn="0" w:lastColumn="0" w:oddVBand="0" w:evenVBand="0" w:oddHBand="0" w:evenHBand="0" w:firstRowFirstColumn="0" w:firstRowLastColumn="0" w:lastRowFirstColumn="0" w:lastRowLastColumn="0"/>
          <w:trHeight w:val="888"/>
        </w:trPr>
        <w:tc>
          <w:tcPr>
            <w:cnfStyle w:val="001000000000" w:firstRow="0" w:lastRow="0" w:firstColumn="1" w:lastColumn="0" w:oddVBand="0" w:evenVBand="0" w:oddHBand="0" w:evenHBand="0" w:firstRowFirstColumn="0" w:firstRowLastColumn="0" w:lastRowFirstColumn="0" w:lastRowLastColumn="0"/>
            <w:tcW w:w="1078" w:type="dxa"/>
            <w:shd w:val="clear" w:color="auto" w:fill="8BA8E2" w:themeFill="text1" w:themeFillTint="66"/>
          </w:tcPr>
          <w:p w14:paraId="1ED18128" w14:textId="77777777" w:rsidR="007C73F6" w:rsidRPr="007C73F6" w:rsidRDefault="007C73F6" w:rsidP="007C73F6">
            <w:pPr>
              <w:widowControl w:val="0"/>
              <w:spacing w:before="60" w:after="60" w:line="252" w:lineRule="auto"/>
              <w:ind w:left="72" w:right="72"/>
              <w:rPr>
                <w:rFonts w:ascii="Verdana" w:eastAsia="Verdana" w:hAnsi="Verdana" w:cs="Times New Roman"/>
              </w:rPr>
            </w:pPr>
            <w:r w:rsidRPr="007C73F6">
              <w:rPr>
                <w:rFonts w:ascii="Verdana" w:eastAsia="Verdana" w:hAnsi="Verdana" w:cs="Times New Roman"/>
              </w:rPr>
              <w:t>DPP</w:t>
            </w:r>
          </w:p>
        </w:tc>
        <w:tc>
          <w:tcPr>
            <w:tcW w:w="3238" w:type="dxa"/>
            <w:shd w:val="clear" w:color="auto" w:fill="8BA8E2" w:themeFill="text1" w:themeFillTint="66"/>
          </w:tcPr>
          <w:p w14:paraId="66549EE4" w14:textId="03FD4552" w:rsidR="007C73F6" w:rsidRPr="007C73F6" w:rsidRDefault="007C73F6" w:rsidP="007C73F6">
            <w:pPr>
              <w:widowControl w:val="0"/>
              <w:spacing w:before="60" w:after="60" w:line="252" w:lineRule="auto"/>
              <w:ind w:left="72" w:right="72"/>
              <w:cnfStyle w:val="100000000000" w:firstRow="1" w:lastRow="0" w:firstColumn="0" w:lastColumn="0" w:oddVBand="0" w:evenVBand="0" w:oddHBand="0" w:evenHBand="0" w:firstRowFirstColumn="0" w:firstRowLastColumn="0" w:lastRowFirstColumn="0" w:lastRowLastColumn="0"/>
              <w:rPr>
                <w:rFonts w:ascii="Verdana" w:eastAsia="Verdana" w:hAnsi="Verdana" w:cs="Times New Roman"/>
              </w:rPr>
            </w:pPr>
            <w:r w:rsidRPr="007C73F6">
              <w:rPr>
                <w:rFonts w:ascii="Verdana" w:eastAsia="Verdana" w:hAnsi="Verdana" w:cs="Times New Roman"/>
              </w:rPr>
              <w:t>Performance Measure</w:t>
            </w:r>
            <w:r w:rsidRPr="007C73F6">
              <w:rPr>
                <w:rFonts w:ascii="Verdana" w:eastAsia="Verdana" w:hAnsi="Verdana" w:cs="Times New Roman"/>
              </w:rPr>
              <w:br/>
              <w:t>(</w:t>
            </w:r>
            <w:r w:rsidR="009D3D96">
              <w:rPr>
                <w:rFonts w:ascii="Verdana" w:eastAsia="Verdana" w:hAnsi="Verdana" w:cs="Times New Roman"/>
              </w:rPr>
              <w:t>Process/</w:t>
            </w:r>
            <w:r w:rsidRPr="007C73F6">
              <w:rPr>
                <w:rFonts w:ascii="Verdana" w:eastAsia="Verdana" w:hAnsi="Verdana" w:cs="Times New Roman"/>
              </w:rPr>
              <w:t>Outcome)</w:t>
            </w:r>
          </w:p>
        </w:tc>
        <w:tc>
          <w:tcPr>
            <w:tcW w:w="2524" w:type="dxa"/>
            <w:shd w:val="clear" w:color="auto" w:fill="8BA8E2" w:themeFill="text1" w:themeFillTint="66"/>
          </w:tcPr>
          <w:p w14:paraId="576075FB" w14:textId="77777777" w:rsidR="007C73F6" w:rsidRPr="007C73F6" w:rsidRDefault="007C73F6" w:rsidP="007C73F6">
            <w:pPr>
              <w:widowControl w:val="0"/>
              <w:spacing w:before="60" w:after="60" w:line="252" w:lineRule="auto"/>
              <w:ind w:left="72" w:right="72"/>
              <w:cnfStyle w:val="100000000000" w:firstRow="1" w:lastRow="0" w:firstColumn="0" w:lastColumn="0" w:oddVBand="0" w:evenVBand="0" w:oddHBand="0" w:evenHBand="0" w:firstRowFirstColumn="0" w:firstRowLastColumn="0" w:lastRowFirstColumn="0" w:lastRowLastColumn="0"/>
              <w:rPr>
                <w:rFonts w:ascii="Verdana" w:eastAsia="Verdana" w:hAnsi="Verdana" w:cs="Times New Roman"/>
              </w:rPr>
            </w:pPr>
            <w:r w:rsidRPr="007C73F6">
              <w:rPr>
                <w:rFonts w:ascii="Verdana" w:eastAsia="Verdana" w:hAnsi="Verdana" w:cs="Times New Roman"/>
              </w:rPr>
              <w:t>Structure Measure</w:t>
            </w:r>
            <w:r w:rsidRPr="007C73F6">
              <w:rPr>
                <w:rFonts w:ascii="Verdana" w:eastAsia="Verdana" w:hAnsi="Verdana" w:cs="Times New Roman"/>
              </w:rPr>
              <w:br/>
              <w:t>(Predictor)</w:t>
            </w:r>
          </w:p>
        </w:tc>
        <w:tc>
          <w:tcPr>
            <w:tcW w:w="1253" w:type="dxa"/>
            <w:shd w:val="clear" w:color="auto" w:fill="8BA8E2" w:themeFill="text1" w:themeFillTint="66"/>
          </w:tcPr>
          <w:p w14:paraId="2A9B0044" w14:textId="77777777" w:rsidR="007C73F6" w:rsidRPr="007C73F6" w:rsidRDefault="007C73F6" w:rsidP="007C73F6">
            <w:pPr>
              <w:widowControl w:val="0"/>
              <w:spacing w:before="60" w:after="60" w:line="252" w:lineRule="auto"/>
              <w:ind w:left="72" w:right="72"/>
              <w:cnfStyle w:val="100000000000" w:firstRow="1" w:lastRow="0" w:firstColumn="0" w:lastColumn="0" w:oddVBand="0" w:evenVBand="0" w:oddHBand="0" w:evenHBand="0" w:firstRowFirstColumn="0" w:firstRowLastColumn="0" w:lastRowFirstColumn="0" w:lastRowLastColumn="0"/>
              <w:rPr>
                <w:rFonts w:ascii="Verdana" w:eastAsia="Verdana" w:hAnsi="Verdana" w:cs="Times New Roman"/>
              </w:rPr>
            </w:pPr>
            <w:r w:rsidRPr="007C73F6">
              <w:rPr>
                <w:rFonts w:ascii="Verdana" w:eastAsia="Verdana" w:hAnsi="Verdana" w:cs="Times New Roman"/>
              </w:rPr>
              <w:t>Model Sample Size</w:t>
            </w:r>
          </w:p>
        </w:tc>
        <w:tc>
          <w:tcPr>
            <w:tcW w:w="1178" w:type="dxa"/>
            <w:shd w:val="clear" w:color="auto" w:fill="8BA8E2" w:themeFill="text1" w:themeFillTint="66"/>
          </w:tcPr>
          <w:p w14:paraId="176601A1" w14:textId="77777777" w:rsidR="007C73F6" w:rsidRPr="007C73F6" w:rsidRDefault="007C73F6" w:rsidP="007C73F6">
            <w:pPr>
              <w:widowControl w:val="0"/>
              <w:spacing w:before="60" w:after="60" w:line="252" w:lineRule="auto"/>
              <w:ind w:left="72" w:right="72"/>
              <w:cnfStyle w:val="100000000000" w:firstRow="1" w:lastRow="0" w:firstColumn="0" w:lastColumn="0" w:oddVBand="0" w:evenVBand="0" w:oddHBand="0" w:evenHBand="0" w:firstRowFirstColumn="0" w:firstRowLastColumn="0" w:lastRowFirstColumn="0" w:lastRowLastColumn="0"/>
              <w:rPr>
                <w:rFonts w:ascii="Verdana" w:eastAsia="Verdana" w:hAnsi="Verdana" w:cs="Times New Roman"/>
              </w:rPr>
            </w:pPr>
            <w:r w:rsidRPr="007C73F6">
              <w:rPr>
                <w:rFonts w:ascii="Verdana" w:eastAsia="Verdana" w:hAnsi="Verdana" w:cs="Times New Roman"/>
              </w:rPr>
              <w:t>Direction</w:t>
            </w:r>
          </w:p>
        </w:tc>
        <w:tc>
          <w:tcPr>
            <w:tcW w:w="1349" w:type="dxa"/>
            <w:shd w:val="clear" w:color="auto" w:fill="8BA8E2" w:themeFill="text1" w:themeFillTint="66"/>
          </w:tcPr>
          <w:p w14:paraId="3F59378F" w14:textId="77777777" w:rsidR="007C73F6" w:rsidRPr="007C73F6" w:rsidRDefault="007C73F6" w:rsidP="007C73F6">
            <w:pPr>
              <w:widowControl w:val="0"/>
              <w:spacing w:before="60" w:after="60" w:line="252" w:lineRule="auto"/>
              <w:ind w:left="72" w:right="72"/>
              <w:cnfStyle w:val="100000000000" w:firstRow="1" w:lastRow="0" w:firstColumn="0" w:lastColumn="0" w:oddVBand="0" w:evenVBand="0" w:oddHBand="0" w:evenHBand="0" w:firstRowFirstColumn="0" w:firstRowLastColumn="0" w:lastRowFirstColumn="0" w:lastRowLastColumn="0"/>
              <w:rPr>
                <w:rFonts w:ascii="Verdana" w:eastAsia="Verdana" w:hAnsi="Verdana" w:cs="Times New Roman"/>
              </w:rPr>
            </w:pPr>
            <w:r w:rsidRPr="007C73F6">
              <w:rPr>
                <w:rFonts w:ascii="Verdana" w:eastAsia="Verdana" w:hAnsi="Verdana" w:cs="Times New Roman"/>
              </w:rPr>
              <w:t>Effect Size</w:t>
            </w:r>
            <w:r w:rsidRPr="007C73F6">
              <w:rPr>
                <w:rFonts w:ascii="Verdana" w:eastAsia="Verdana" w:hAnsi="Verdana" w:cs="Times New Roman"/>
                <w:vertAlign w:val="superscript"/>
              </w:rPr>
              <w:t>1</w:t>
            </w:r>
          </w:p>
        </w:tc>
      </w:tr>
      <w:tr w:rsidR="39065E54" w14:paraId="72C1B073" w14:textId="77777777" w:rsidTr="003B09DD">
        <w:trPr>
          <w:cnfStyle w:val="000000100000" w:firstRow="0" w:lastRow="0" w:firstColumn="0" w:lastColumn="0" w:oddVBand="0" w:evenVBand="0" w:oddHBand="1" w:evenHBand="0" w:firstRowFirstColumn="0" w:firstRowLastColumn="0" w:lastRowFirstColumn="0" w:lastRowLastColumn="0"/>
          <w:trHeight w:val="648"/>
        </w:trPr>
        <w:tc>
          <w:tcPr>
            <w:cnfStyle w:val="001000000000" w:firstRow="0" w:lastRow="0" w:firstColumn="1" w:lastColumn="0" w:oddVBand="0" w:evenVBand="0" w:oddHBand="0" w:evenHBand="0" w:firstRowFirstColumn="0" w:firstRowLastColumn="0" w:lastRowFirstColumn="0" w:lastRowLastColumn="0"/>
            <w:tcW w:w="1078" w:type="dxa"/>
          </w:tcPr>
          <w:p w14:paraId="2DDC9C88" w14:textId="44EC3F6F" w:rsidR="2377AC66" w:rsidRDefault="2377AC66" w:rsidP="39065E54">
            <w:pPr>
              <w:spacing w:before="60" w:after="60" w:line="252" w:lineRule="auto"/>
              <w:ind w:left="72" w:right="72"/>
              <w:rPr>
                <w:rFonts w:ascii="Verdana" w:eastAsia="Verdana" w:hAnsi="Verdana" w:cs="Times New Roman"/>
              </w:rPr>
            </w:pPr>
            <w:r w:rsidRPr="39065E54">
              <w:rPr>
                <w:rFonts w:ascii="Verdana" w:eastAsia="Verdana" w:hAnsi="Verdana" w:cs="Times New Roman"/>
              </w:rPr>
              <w:t>CHIRP</w:t>
            </w:r>
          </w:p>
        </w:tc>
        <w:tc>
          <w:tcPr>
            <w:tcW w:w="3238" w:type="dxa"/>
          </w:tcPr>
          <w:p w14:paraId="5BD43CE9" w14:textId="4927F2AD" w:rsidR="6FB6F7BF" w:rsidRDefault="6FB6F7BF" w:rsidP="39065E54">
            <w:pPr>
              <w:spacing w:before="60" w:after="60" w:line="252" w:lineRule="auto"/>
              <w:ind w:left="72" w:right="72"/>
              <w:cnfStyle w:val="000000100000" w:firstRow="0" w:lastRow="0" w:firstColumn="0" w:lastColumn="0" w:oddVBand="0" w:evenVBand="0" w:oddHBand="1" w:evenHBand="0" w:firstRowFirstColumn="0" w:firstRowLastColumn="0" w:lastRowFirstColumn="0" w:lastRowLastColumn="0"/>
              <w:rPr>
                <w:rFonts w:ascii="Verdana" w:eastAsia="Verdana" w:hAnsi="Verdana" w:cs="Times New Roman"/>
                <w:color w:val="000000" w:themeColor="text2"/>
              </w:rPr>
            </w:pPr>
            <w:r w:rsidRPr="39065E54">
              <w:rPr>
                <w:rFonts w:ascii="Verdana" w:eastAsia="Verdana" w:hAnsi="Verdana" w:cs="Times New Roman"/>
                <w:color w:val="000000" w:themeColor="text2"/>
              </w:rPr>
              <w:t xml:space="preserve">Unintentional Medical Discrepancies </w:t>
            </w:r>
          </w:p>
        </w:tc>
        <w:tc>
          <w:tcPr>
            <w:tcW w:w="2524" w:type="dxa"/>
          </w:tcPr>
          <w:p w14:paraId="03362B7E" w14:textId="39359C14" w:rsidR="6FB6F7BF" w:rsidRDefault="6FB6F7BF" w:rsidP="39065E54">
            <w:pPr>
              <w:spacing w:before="60" w:after="60" w:line="252" w:lineRule="auto"/>
              <w:ind w:left="72" w:right="72"/>
              <w:cnfStyle w:val="000000100000" w:firstRow="0" w:lastRow="0" w:firstColumn="0" w:lastColumn="0" w:oddVBand="0" w:evenVBand="0" w:oddHBand="1" w:evenHBand="0" w:firstRowFirstColumn="0" w:firstRowLastColumn="0" w:lastRowFirstColumn="0" w:lastRowLastColumn="0"/>
              <w:rPr>
                <w:rFonts w:ascii="Verdana" w:eastAsia="Verdana" w:hAnsi="Verdana" w:cs="Times New Roman"/>
                <w:color w:val="000000" w:themeColor="text2"/>
              </w:rPr>
            </w:pPr>
            <w:r w:rsidRPr="39065E54">
              <w:rPr>
                <w:rFonts w:ascii="Verdana" w:eastAsia="Verdana" w:hAnsi="Verdana" w:cs="Times New Roman"/>
                <w:color w:val="000000" w:themeColor="text2"/>
              </w:rPr>
              <w:t>HIE participation</w:t>
            </w:r>
          </w:p>
        </w:tc>
        <w:tc>
          <w:tcPr>
            <w:tcW w:w="1253" w:type="dxa"/>
          </w:tcPr>
          <w:p w14:paraId="2B547AB9" w14:textId="0E7FE518" w:rsidR="6FB6F7BF" w:rsidRDefault="6FB6F7BF" w:rsidP="39065E54">
            <w:pPr>
              <w:spacing w:line="252" w:lineRule="auto"/>
              <w:jc w:val="center"/>
              <w:cnfStyle w:val="000000100000" w:firstRow="0" w:lastRow="0" w:firstColumn="0" w:lastColumn="0" w:oddVBand="0" w:evenVBand="0" w:oddHBand="1" w:evenHBand="0" w:firstRowFirstColumn="0" w:firstRowLastColumn="0" w:lastRowFirstColumn="0" w:lastRowLastColumn="0"/>
              <w:rPr>
                <w:rFonts w:ascii="Verdana" w:eastAsia="Verdana" w:hAnsi="Verdana" w:cs="Times New Roman"/>
              </w:rPr>
            </w:pPr>
            <w:r w:rsidRPr="39065E54">
              <w:rPr>
                <w:rFonts w:ascii="Verdana" w:eastAsia="Verdana" w:hAnsi="Verdana" w:cs="Times New Roman"/>
              </w:rPr>
              <w:t>192</w:t>
            </w:r>
          </w:p>
        </w:tc>
        <w:tc>
          <w:tcPr>
            <w:tcW w:w="1178" w:type="dxa"/>
          </w:tcPr>
          <w:p w14:paraId="09B5F4B8" w14:textId="12D57652" w:rsidR="7AA14F90" w:rsidRPr="002E757C" w:rsidRDefault="7AA14F90" w:rsidP="39065E54">
            <w:pPr>
              <w:widowControl w:val="0"/>
              <w:spacing w:before="60" w:after="60" w:line="252" w:lineRule="auto"/>
              <w:ind w:left="72" w:right="72"/>
              <w:jc w:val="center"/>
              <w:cnfStyle w:val="000000100000" w:firstRow="0" w:lastRow="0" w:firstColumn="0" w:lastColumn="0" w:oddVBand="0" w:evenVBand="0" w:oddHBand="1" w:evenHBand="0" w:firstRowFirstColumn="0" w:firstRowLastColumn="0" w:lastRowFirstColumn="0" w:lastRowLastColumn="0"/>
              <w:rPr>
                <w:rFonts w:ascii="Wingdings" w:eastAsia="Wingdings" w:hAnsi="Wingdings" w:cs="Wingdings"/>
                <w:b/>
                <w:bCs/>
                <w:color w:val="4E9333" w:themeColor="accent3" w:themeShade="BF"/>
                <w:sz w:val="24"/>
                <w:szCs w:val="24"/>
              </w:rPr>
            </w:pPr>
            <w:r w:rsidRPr="002E757C">
              <w:rPr>
                <w:rFonts w:ascii="Wingdings" w:eastAsia="Wingdings" w:hAnsi="Wingdings" w:cs="Wingdings"/>
                <w:b/>
                <w:bCs/>
                <w:color w:val="4E9333" w:themeColor="accent3" w:themeShade="BF"/>
                <w:sz w:val="24"/>
                <w:szCs w:val="24"/>
              </w:rPr>
              <w:t>â</w:t>
            </w:r>
          </w:p>
        </w:tc>
        <w:tc>
          <w:tcPr>
            <w:tcW w:w="1349" w:type="dxa"/>
          </w:tcPr>
          <w:p w14:paraId="7E15356B" w14:textId="6AA3AF42" w:rsidR="6FB6F7BF" w:rsidRDefault="6FB6F7BF" w:rsidP="39065E54">
            <w:pPr>
              <w:spacing w:before="60" w:after="60" w:line="252" w:lineRule="auto"/>
              <w:ind w:left="72" w:right="72"/>
              <w:cnfStyle w:val="000000100000" w:firstRow="0" w:lastRow="0" w:firstColumn="0" w:lastColumn="0" w:oddVBand="0" w:evenVBand="0" w:oddHBand="1" w:evenHBand="0" w:firstRowFirstColumn="0" w:firstRowLastColumn="0" w:lastRowFirstColumn="0" w:lastRowLastColumn="0"/>
              <w:rPr>
                <w:rFonts w:ascii="Verdana" w:eastAsia="Verdana" w:hAnsi="Verdana" w:cs="Times New Roman"/>
              </w:rPr>
            </w:pPr>
            <w:r w:rsidRPr="39065E54">
              <w:rPr>
                <w:rFonts w:ascii="Verdana" w:eastAsia="Verdana" w:hAnsi="Verdana" w:cs="Times New Roman"/>
              </w:rPr>
              <w:t>Medium</w:t>
            </w:r>
          </w:p>
        </w:tc>
      </w:tr>
      <w:tr w:rsidR="00EF15AF" w14:paraId="27476971" w14:textId="77777777" w:rsidTr="00EF15AF">
        <w:trPr>
          <w:cnfStyle w:val="000000010000" w:firstRow="0" w:lastRow="0" w:firstColumn="0" w:lastColumn="0" w:oddVBand="0" w:evenVBand="0" w:oddHBand="0" w:evenHBand="1" w:firstRowFirstColumn="0" w:firstRowLastColumn="0" w:lastRowFirstColumn="0" w:lastRowLastColumn="0"/>
          <w:trHeight w:val="648"/>
        </w:trPr>
        <w:tc>
          <w:tcPr>
            <w:cnfStyle w:val="001000000000" w:firstRow="0" w:lastRow="0" w:firstColumn="1" w:lastColumn="0" w:oddVBand="0" w:evenVBand="0" w:oddHBand="0" w:evenHBand="0" w:firstRowFirstColumn="0" w:firstRowLastColumn="0" w:lastRowFirstColumn="0" w:lastRowLastColumn="0"/>
            <w:tcW w:w="1078" w:type="dxa"/>
          </w:tcPr>
          <w:p w14:paraId="529D4E23" w14:textId="02C124D9" w:rsidR="6FB6F7BF" w:rsidRDefault="6FB6F7BF" w:rsidP="39065E54">
            <w:pPr>
              <w:spacing w:before="60" w:after="60" w:line="252" w:lineRule="auto"/>
              <w:ind w:left="72" w:right="72"/>
              <w:rPr>
                <w:rFonts w:ascii="Verdana" w:eastAsia="Verdana" w:hAnsi="Verdana" w:cs="Times New Roman"/>
              </w:rPr>
            </w:pPr>
            <w:r w:rsidRPr="39065E54">
              <w:rPr>
                <w:rFonts w:ascii="Verdana" w:eastAsia="Verdana" w:hAnsi="Verdana" w:cs="Times New Roman"/>
              </w:rPr>
              <w:t>CHIRP</w:t>
            </w:r>
          </w:p>
        </w:tc>
        <w:tc>
          <w:tcPr>
            <w:tcW w:w="3238" w:type="dxa"/>
          </w:tcPr>
          <w:p w14:paraId="18AC203C" w14:textId="48400430" w:rsidR="6FB6F7BF" w:rsidRDefault="6FB6F7BF" w:rsidP="39065E54">
            <w:pPr>
              <w:spacing w:before="60" w:after="60" w:line="252" w:lineRule="auto"/>
              <w:ind w:left="72" w:right="72"/>
              <w:cnfStyle w:val="000000010000" w:firstRow="0" w:lastRow="0" w:firstColumn="0" w:lastColumn="0" w:oddVBand="0" w:evenVBand="0" w:oddHBand="0" w:evenHBand="1" w:firstRowFirstColumn="0" w:firstRowLastColumn="0" w:lastRowFirstColumn="0" w:lastRowLastColumn="0"/>
              <w:rPr>
                <w:rFonts w:ascii="Verdana" w:eastAsia="Verdana" w:hAnsi="Verdana" w:cs="Times New Roman"/>
                <w:color w:val="000000" w:themeColor="text2"/>
              </w:rPr>
            </w:pPr>
            <w:r w:rsidRPr="39065E54">
              <w:rPr>
                <w:rFonts w:ascii="Verdana" w:eastAsia="Verdana" w:hAnsi="Verdana" w:cs="Times New Roman"/>
                <w:color w:val="000000" w:themeColor="text2"/>
              </w:rPr>
              <w:t xml:space="preserve">CLABSI </w:t>
            </w:r>
          </w:p>
        </w:tc>
        <w:tc>
          <w:tcPr>
            <w:tcW w:w="2524" w:type="dxa"/>
          </w:tcPr>
          <w:p w14:paraId="581F2F22" w14:textId="671A49D2" w:rsidR="6FB6F7BF" w:rsidRDefault="6FB6F7BF" w:rsidP="39065E54">
            <w:pPr>
              <w:spacing w:before="60" w:after="60" w:line="252" w:lineRule="auto"/>
              <w:ind w:left="72" w:right="72"/>
              <w:cnfStyle w:val="000000010000" w:firstRow="0" w:lastRow="0" w:firstColumn="0" w:lastColumn="0" w:oddVBand="0" w:evenVBand="0" w:oddHBand="0" w:evenHBand="1" w:firstRowFirstColumn="0" w:firstRowLastColumn="0" w:lastRowFirstColumn="0" w:lastRowLastColumn="0"/>
              <w:rPr>
                <w:rFonts w:ascii="Verdana" w:eastAsia="Verdana" w:hAnsi="Verdana" w:cs="Times New Roman"/>
                <w:color w:val="000000" w:themeColor="text2"/>
              </w:rPr>
            </w:pPr>
            <w:r w:rsidRPr="39065E54">
              <w:rPr>
                <w:rFonts w:ascii="Verdana" w:eastAsia="Verdana" w:hAnsi="Verdana" w:cs="Times New Roman"/>
                <w:color w:val="000000" w:themeColor="text2"/>
              </w:rPr>
              <w:t>Written transition procedures</w:t>
            </w:r>
          </w:p>
        </w:tc>
        <w:tc>
          <w:tcPr>
            <w:tcW w:w="1253" w:type="dxa"/>
          </w:tcPr>
          <w:p w14:paraId="4D2F2807" w14:textId="49ADA334" w:rsidR="6FB6F7BF" w:rsidRDefault="6FB6F7BF" w:rsidP="39065E54">
            <w:pPr>
              <w:spacing w:line="252" w:lineRule="auto"/>
              <w:jc w:val="center"/>
              <w:cnfStyle w:val="000000010000" w:firstRow="0" w:lastRow="0" w:firstColumn="0" w:lastColumn="0" w:oddVBand="0" w:evenVBand="0" w:oddHBand="0" w:evenHBand="1" w:firstRowFirstColumn="0" w:firstRowLastColumn="0" w:lastRowFirstColumn="0" w:lastRowLastColumn="0"/>
              <w:rPr>
                <w:rFonts w:ascii="Verdana" w:eastAsia="Verdana" w:hAnsi="Verdana" w:cs="Times New Roman"/>
              </w:rPr>
            </w:pPr>
            <w:r w:rsidRPr="39065E54">
              <w:rPr>
                <w:rFonts w:ascii="Verdana" w:eastAsia="Verdana" w:hAnsi="Verdana" w:cs="Times New Roman"/>
              </w:rPr>
              <w:t>40</w:t>
            </w:r>
          </w:p>
        </w:tc>
        <w:tc>
          <w:tcPr>
            <w:tcW w:w="1178" w:type="dxa"/>
          </w:tcPr>
          <w:p w14:paraId="377F89C5" w14:textId="34F1765A" w:rsidR="50CFC5CA" w:rsidRPr="002E757C" w:rsidRDefault="50CFC5CA" w:rsidP="39065E54">
            <w:pPr>
              <w:spacing w:line="252" w:lineRule="auto"/>
              <w:jc w:val="center"/>
              <w:cnfStyle w:val="000000010000" w:firstRow="0" w:lastRow="0" w:firstColumn="0" w:lastColumn="0" w:oddVBand="0" w:evenVBand="0" w:oddHBand="0" w:evenHBand="1" w:firstRowFirstColumn="0" w:firstRowLastColumn="0" w:lastRowFirstColumn="0" w:lastRowLastColumn="0"/>
              <w:rPr>
                <w:rFonts w:ascii="Wingdings" w:eastAsia="Wingdings" w:hAnsi="Wingdings" w:cs="Wingdings"/>
                <w:b/>
                <w:bCs/>
                <w:color w:val="FF0000"/>
                <w:sz w:val="24"/>
                <w:szCs w:val="24"/>
              </w:rPr>
            </w:pPr>
            <w:r w:rsidRPr="002E757C">
              <w:rPr>
                <w:rFonts w:ascii="Wingdings" w:eastAsia="Wingdings" w:hAnsi="Wingdings" w:cs="Wingdings"/>
                <w:b/>
                <w:bCs/>
                <w:color w:val="FF0000"/>
                <w:sz w:val="24"/>
                <w:szCs w:val="24"/>
              </w:rPr>
              <w:t>á</w:t>
            </w:r>
          </w:p>
        </w:tc>
        <w:tc>
          <w:tcPr>
            <w:tcW w:w="1349" w:type="dxa"/>
          </w:tcPr>
          <w:p w14:paraId="09618518" w14:textId="27B03729" w:rsidR="6FB6F7BF" w:rsidRDefault="6FB6F7BF" w:rsidP="39065E54">
            <w:pPr>
              <w:spacing w:before="60" w:after="60" w:line="252" w:lineRule="auto"/>
              <w:ind w:left="72" w:right="72"/>
              <w:cnfStyle w:val="000000010000" w:firstRow="0" w:lastRow="0" w:firstColumn="0" w:lastColumn="0" w:oddVBand="0" w:evenVBand="0" w:oddHBand="0" w:evenHBand="1" w:firstRowFirstColumn="0" w:firstRowLastColumn="0" w:lastRowFirstColumn="0" w:lastRowLastColumn="0"/>
              <w:rPr>
                <w:rFonts w:ascii="Verdana" w:eastAsia="Verdana" w:hAnsi="Verdana" w:cs="Times New Roman"/>
              </w:rPr>
            </w:pPr>
            <w:r w:rsidRPr="39065E54">
              <w:rPr>
                <w:rFonts w:ascii="Verdana" w:eastAsia="Verdana" w:hAnsi="Verdana" w:cs="Times New Roman"/>
              </w:rPr>
              <w:t>Large</w:t>
            </w:r>
          </w:p>
        </w:tc>
      </w:tr>
      <w:tr w:rsidR="007C73F6" w:rsidRPr="007C73F6" w14:paraId="2EA4560C" w14:textId="77777777" w:rsidTr="003B09DD">
        <w:trPr>
          <w:cnfStyle w:val="000000100000" w:firstRow="0" w:lastRow="0" w:firstColumn="0" w:lastColumn="0" w:oddVBand="0" w:evenVBand="0" w:oddHBand="1" w:evenHBand="0" w:firstRowFirstColumn="0" w:firstRowLastColumn="0" w:lastRowFirstColumn="0" w:lastRowLastColumn="0"/>
          <w:trHeight w:val="648"/>
        </w:trPr>
        <w:tc>
          <w:tcPr>
            <w:cnfStyle w:val="001000000000" w:firstRow="0" w:lastRow="0" w:firstColumn="1" w:lastColumn="0" w:oddVBand="0" w:evenVBand="0" w:oddHBand="0" w:evenHBand="0" w:firstRowFirstColumn="0" w:firstRowLastColumn="0" w:lastRowFirstColumn="0" w:lastRowLastColumn="0"/>
            <w:tcW w:w="1078" w:type="dxa"/>
          </w:tcPr>
          <w:p w14:paraId="38292F1E" w14:textId="77777777" w:rsidR="007C73F6" w:rsidRPr="007C73F6" w:rsidRDefault="007C73F6" w:rsidP="007C73F6">
            <w:pPr>
              <w:widowControl w:val="0"/>
              <w:spacing w:before="60" w:after="60" w:line="252" w:lineRule="auto"/>
              <w:ind w:left="72" w:right="72"/>
              <w:rPr>
                <w:rFonts w:ascii="Verdana" w:eastAsia="Verdana" w:hAnsi="Verdana" w:cs="Times New Roman"/>
              </w:rPr>
            </w:pPr>
            <w:r w:rsidRPr="007C73F6">
              <w:rPr>
                <w:rFonts w:ascii="Verdana" w:eastAsia="Verdana" w:hAnsi="Verdana" w:cs="Times New Roman"/>
              </w:rPr>
              <w:t>CHIRP</w:t>
            </w:r>
          </w:p>
        </w:tc>
        <w:tc>
          <w:tcPr>
            <w:tcW w:w="3238" w:type="dxa"/>
          </w:tcPr>
          <w:p w14:paraId="1F016DB0" w14:textId="0FF7C70B" w:rsidR="007C73F6" w:rsidRPr="007C73F6" w:rsidRDefault="007C73F6" w:rsidP="39065E54">
            <w:pPr>
              <w:widowControl w:val="0"/>
              <w:spacing w:before="60" w:after="60" w:line="252" w:lineRule="auto"/>
              <w:ind w:left="72" w:right="72"/>
              <w:cnfStyle w:val="000000100000" w:firstRow="0" w:lastRow="0" w:firstColumn="0" w:lastColumn="0" w:oddVBand="0" w:evenVBand="0" w:oddHBand="1" w:evenHBand="0" w:firstRowFirstColumn="0" w:firstRowLastColumn="0" w:lastRowFirstColumn="0" w:lastRowLastColumn="0"/>
              <w:rPr>
                <w:rFonts w:ascii="Verdana" w:eastAsia="Verdana" w:hAnsi="Verdana" w:cs="Times New Roman"/>
                <w:color w:val="000000" w:themeColor="text2"/>
              </w:rPr>
            </w:pPr>
            <w:r w:rsidRPr="39065E54">
              <w:rPr>
                <w:rFonts w:ascii="Verdana" w:eastAsia="Verdana" w:hAnsi="Verdana" w:cs="Times New Roman"/>
                <w:color w:val="000000" w:themeColor="text2"/>
              </w:rPr>
              <w:t xml:space="preserve">Hospital-onset CDI </w:t>
            </w:r>
          </w:p>
        </w:tc>
        <w:tc>
          <w:tcPr>
            <w:tcW w:w="2524" w:type="dxa"/>
          </w:tcPr>
          <w:p w14:paraId="14D9BFF9" w14:textId="7E383585" w:rsidR="007C73F6" w:rsidRPr="007C73F6" w:rsidRDefault="007C73F6" w:rsidP="39065E54">
            <w:pPr>
              <w:widowControl w:val="0"/>
              <w:spacing w:before="60" w:after="60" w:line="252" w:lineRule="auto"/>
              <w:ind w:left="72" w:right="72"/>
              <w:cnfStyle w:val="000000100000" w:firstRow="0" w:lastRow="0" w:firstColumn="0" w:lastColumn="0" w:oddVBand="0" w:evenVBand="0" w:oddHBand="1" w:evenHBand="0" w:firstRowFirstColumn="0" w:firstRowLastColumn="0" w:lastRowFirstColumn="0" w:lastRowLastColumn="0"/>
              <w:rPr>
                <w:rFonts w:ascii="Verdana" w:eastAsia="Verdana" w:hAnsi="Verdana" w:cs="Times New Roman"/>
                <w:color w:val="000000" w:themeColor="text2"/>
              </w:rPr>
            </w:pPr>
            <w:r w:rsidRPr="39065E54">
              <w:rPr>
                <w:rFonts w:ascii="Verdana" w:eastAsia="Verdana" w:hAnsi="Verdana" w:cs="Times New Roman"/>
                <w:color w:val="000000" w:themeColor="text2"/>
              </w:rPr>
              <w:t>H</w:t>
            </w:r>
            <w:r w:rsidR="72AE8698" w:rsidRPr="39065E54">
              <w:rPr>
                <w:rFonts w:ascii="Verdana" w:eastAsia="Verdana" w:hAnsi="Verdana" w:cs="Times New Roman"/>
                <w:color w:val="000000" w:themeColor="text2"/>
              </w:rPr>
              <w:t>ealthcare Quality Learning Collaborative P</w:t>
            </w:r>
            <w:r w:rsidRPr="39065E54">
              <w:rPr>
                <w:rFonts w:ascii="Verdana" w:eastAsia="Verdana" w:hAnsi="Verdana" w:cs="Times New Roman"/>
                <w:color w:val="000000" w:themeColor="text2"/>
              </w:rPr>
              <w:t>articipation</w:t>
            </w:r>
          </w:p>
        </w:tc>
        <w:tc>
          <w:tcPr>
            <w:tcW w:w="1253" w:type="dxa"/>
          </w:tcPr>
          <w:p w14:paraId="00A66E6E" w14:textId="3E16ED4C" w:rsidR="007C73F6" w:rsidRPr="007C73F6" w:rsidRDefault="007C73F6" w:rsidP="007C73F6">
            <w:pPr>
              <w:widowControl w:val="0"/>
              <w:spacing w:before="60" w:after="60" w:line="252" w:lineRule="auto"/>
              <w:ind w:left="72" w:right="72"/>
              <w:jc w:val="center"/>
              <w:cnfStyle w:val="000000100000" w:firstRow="0" w:lastRow="0" w:firstColumn="0" w:lastColumn="0" w:oddVBand="0" w:evenVBand="0" w:oddHBand="1" w:evenHBand="0" w:firstRowFirstColumn="0" w:firstRowLastColumn="0" w:lastRowFirstColumn="0" w:lastRowLastColumn="0"/>
              <w:rPr>
                <w:rFonts w:ascii="Verdana" w:eastAsia="Verdana" w:hAnsi="Verdana" w:cs="Times New Roman"/>
              </w:rPr>
            </w:pPr>
            <w:r w:rsidRPr="39065E54">
              <w:rPr>
                <w:rFonts w:ascii="Verdana" w:eastAsia="Verdana" w:hAnsi="Verdana" w:cs="Times New Roman"/>
              </w:rPr>
              <w:t>11</w:t>
            </w:r>
            <w:r w:rsidR="7F2F4F51" w:rsidRPr="39065E54">
              <w:rPr>
                <w:rFonts w:ascii="Verdana" w:eastAsia="Verdana" w:hAnsi="Verdana" w:cs="Times New Roman"/>
              </w:rPr>
              <w:t>2</w:t>
            </w:r>
          </w:p>
        </w:tc>
        <w:tc>
          <w:tcPr>
            <w:tcW w:w="1178" w:type="dxa"/>
          </w:tcPr>
          <w:p w14:paraId="0BE72391" w14:textId="1793BB8A" w:rsidR="007C73F6" w:rsidRPr="002E757C" w:rsidRDefault="30223863" w:rsidP="39065E54">
            <w:pPr>
              <w:widowControl w:val="0"/>
              <w:spacing w:before="60" w:after="60" w:line="252" w:lineRule="auto"/>
              <w:ind w:left="72" w:right="72"/>
              <w:jc w:val="center"/>
              <w:cnfStyle w:val="000000100000" w:firstRow="0" w:lastRow="0" w:firstColumn="0" w:lastColumn="0" w:oddVBand="0" w:evenVBand="0" w:oddHBand="1" w:evenHBand="0" w:firstRowFirstColumn="0" w:firstRowLastColumn="0" w:lastRowFirstColumn="0" w:lastRowLastColumn="0"/>
              <w:rPr>
                <w:rFonts w:ascii="Wingdings" w:eastAsia="Wingdings" w:hAnsi="Wingdings" w:cs="Wingdings"/>
                <w:b/>
                <w:bCs/>
                <w:color w:val="4E9333" w:themeColor="accent3" w:themeShade="BF"/>
                <w:sz w:val="24"/>
                <w:szCs w:val="24"/>
              </w:rPr>
            </w:pPr>
            <w:r w:rsidRPr="002E757C">
              <w:rPr>
                <w:rFonts w:ascii="Wingdings" w:eastAsia="Wingdings" w:hAnsi="Wingdings" w:cs="Wingdings"/>
                <w:b/>
                <w:bCs/>
                <w:color w:val="4E9333" w:themeColor="accent3" w:themeShade="BF"/>
                <w:sz w:val="24"/>
                <w:szCs w:val="24"/>
              </w:rPr>
              <w:t>â</w:t>
            </w:r>
          </w:p>
        </w:tc>
        <w:tc>
          <w:tcPr>
            <w:tcW w:w="1349" w:type="dxa"/>
          </w:tcPr>
          <w:p w14:paraId="3D4C2E98" w14:textId="59E0B02C" w:rsidR="007C73F6" w:rsidRPr="007C73F6" w:rsidRDefault="7F2F4F51" w:rsidP="39065E54">
            <w:pPr>
              <w:widowControl w:val="0"/>
              <w:spacing w:before="60" w:after="60" w:line="252" w:lineRule="auto"/>
              <w:ind w:left="72" w:right="72"/>
              <w:cnfStyle w:val="000000100000" w:firstRow="0" w:lastRow="0" w:firstColumn="0" w:lastColumn="0" w:oddVBand="0" w:evenVBand="0" w:oddHBand="1" w:evenHBand="0" w:firstRowFirstColumn="0" w:firstRowLastColumn="0" w:lastRowFirstColumn="0" w:lastRowLastColumn="0"/>
            </w:pPr>
            <w:r w:rsidRPr="39065E54">
              <w:rPr>
                <w:rFonts w:ascii="Verdana" w:eastAsia="Verdana" w:hAnsi="Verdana" w:cs="Times New Roman"/>
              </w:rPr>
              <w:t>Large</w:t>
            </w:r>
          </w:p>
        </w:tc>
      </w:tr>
      <w:tr w:rsidR="00EF15AF" w14:paraId="056E21E9" w14:textId="77777777" w:rsidTr="003B09DD">
        <w:trPr>
          <w:cnfStyle w:val="000000010000" w:firstRow="0" w:lastRow="0" w:firstColumn="0" w:lastColumn="0" w:oddVBand="0" w:evenVBand="0" w:oddHBand="0" w:evenHBand="1" w:firstRowFirstColumn="0" w:firstRowLastColumn="0" w:lastRowFirstColumn="0" w:lastRowLastColumn="0"/>
          <w:trHeight w:val="575"/>
        </w:trPr>
        <w:tc>
          <w:tcPr>
            <w:cnfStyle w:val="001000000000" w:firstRow="0" w:lastRow="0" w:firstColumn="1" w:lastColumn="0" w:oddVBand="0" w:evenVBand="0" w:oddHBand="0" w:evenHBand="0" w:firstRowFirstColumn="0" w:firstRowLastColumn="0" w:lastRowFirstColumn="0" w:lastRowLastColumn="0"/>
            <w:tcW w:w="0" w:type="dxa"/>
          </w:tcPr>
          <w:p w14:paraId="2694AF0D" w14:textId="2D45DB57" w:rsidR="7F2F4F51" w:rsidRDefault="7F2F4F51" w:rsidP="39065E54">
            <w:pPr>
              <w:spacing w:before="60" w:after="40" w:line="252" w:lineRule="auto"/>
              <w:ind w:left="72" w:right="72"/>
              <w:rPr>
                <w:rFonts w:ascii="Verdana" w:eastAsia="Verdana" w:hAnsi="Verdana" w:cs="Times New Roman"/>
              </w:rPr>
            </w:pPr>
            <w:r w:rsidRPr="39065E54">
              <w:rPr>
                <w:rFonts w:ascii="Verdana" w:eastAsia="Verdana" w:hAnsi="Verdana" w:cs="Times New Roman"/>
              </w:rPr>
              <w:t>DPP BHS</w:t>
            </w:r>
          </w:p>
        </w:tc>
        <w:tc>
          <w:tcPr>
            <w:tcW w:w="0" w:type="dxa"/>
          </w:tcPr>
          <w:p w14:paraId="4798E32B" w14:textId="2BD5AA28" w:rsidR="7F2F4F51" w:rsidRDefault="7F2F4F51" w:rsidP="39065E54">
            <w:pPr>
              <w:spacing w:before="60" w:after="60" w:line="252" w:lineRule="auto"/>
              <w:ind w:left="72" w:right="72"/>
              <w:cnfStyle w:val="000000010000" w:firstRow="0" w:lastRow="0" w:firstColumn="0" w:lastColumn="0" w:oddVBand="0" w:evenVBand="0" w:oddHBand="0" w:evenHBand="1" w:firstRowFirstColumn="0" w:firstRowLastColumn="0" w:lastRowFirstColumn="0" w:lastRowLastColumn="0"/>
              <w:rPr>
                <w:rFonts w:ascii="Verdana" w:eastAsia="Verdana" w:hAnsi="Verdana" w:cs="Times New Roman"/>
                <w:color w:val="000000" w:themeColor="text2"/>
              </w:rPr>
            </w:pPr>
            <w:r w:rsidRPr="39065E54">
              <w:rPr>
                <w:rFonts w:ascii="Verdana" w:eastAsia="Verdana" w:hAnsi="Verdana" w:cs="Times New Roman"/>
                <w:color w:val="000000" w:themeColor="text2"/>
              </w:rPr>
              <w:t xml:space="preserve">Unhealthy Alcohol Use: Screening &amp; Brief Counseling </w:t>
            </w:r>
          </w:p>
        </w:tc>
        <w:tc>
          <w:tcPr>
            <w:tcW w:w="0" w:type="dxa"/>
          </w:tcPr>
          <w:p w14:paraId="3601ECC4" w14:textId="6D350B8B" w:rsidR="7F2F4F51" w:rsidRDefault="7F2F4F51" w:rsidP="39065E54">
            <w:pPr>
              <w:spacing w:before="60" w:after="60" w:line="252" w:lineRule="auto"/>
              <w:ind w:left="72" w:right="72"/>
              <w:cnfStyle w:val="000000010000" w:firstRow="0" w:lastRow="0" w:firstColumn="0" w:lastColumn="0" w:oddVBand="0" w:evenVBand="0" w:oddHBand="0" w:evenHBand="1" w:firstRowFirstColumn="0" w:firstRowLastColumn="0" w:lastRowFirstColumn="0" w:lastRowLastColumn="0"/>
              <w:rPr>
                <w:rFonts w:ascii="Verdana" w:eastAsia="Verdana" w:hAnsi="Verdana" w:cs="Times New Roman"/>
                <w:color w:val="000000" w:themeColor="text2"/>
              </w:rPr>
            </w:pPr>
            <w:r w:rsidRPr="39065E54">
              <w:rPr>
                <w:rFonts w:ascii="Verdana" w:eastAsia="Verdana" w:hAnsi="Verdana" w:cs="Times New Roman"/>
                <w:color w:val="000000" w:themeColor="text2"/>
              </w:rPr>
              <w:t>Integrated physical and behavioral health</w:t>
            </w:r>
          </w:p>
        </w:tc>
        <w:tc>
          <w:tcPr>
            <w:tcW w:w="0" w:type="dxa"/>
          </w:tcPr>
          <w:p w14:paraId="39F52E06" w14:textId="5BB39045" w:rsidR="7F2F4F51" w:rsidRDefault="7F2F4F51" w:rsidP="39065E54">
            <w:pPr>
              <w:spacing w:line="252" w:lineRule="auto"/>
              <w:jc w:val="center"/>
              <w:cnfStyle w:val="000000010000" w:firstRow="0" w:lastRow="0" w:firstColumn="0" w:lastColumn="0" w:oddVBand="0" w:evenVBand="0" w:oddHBand="0" w:evenHBand="1" w:firstRowFirstColumn="0" w:firstRowLastColumn="0" w:lastRowFirstColumn="0" w:lastRowLastColumn="0"/>
              <w:rPr>
                <w:rFonts w:ascii="Verdana" w:eastAsia="Verdana" w:hAnsi="Verdana" w:cs="Times New Roman"/>
              </w:rPr>
            </w:pPr>
            <w:r w:rsidRPr="39065E54">
              <w:rPr>
                <w:rFonts w:ascii="Verdana" w:eastAsia="Verdana" w:hAnsi="Verdana" w:cs="Times New Roman"/>
              </w:rPr>
              <w:t>40</w:t>
            </w:r>
          </w:p>
        </w:tc>
        <w:tc>
          <w:tcPr>
            <w:tcW w:w="0" w:type="dxa"/>
          </w:tcPr>
          <w:p w14:paraId="3C941510" w14:textId="4EDCA912" w:rsidR="189176FD" w:rsidRPr="002E757C" w:rsidRDefault="189176FD" w:rsidP="39065E54">
            <w:pPr>
              <w:widowControl w:val="0"/>
              <w:spacing w:before="60" w:after="60" w:line="252" w:lineRule="auto"/>
              <w:ind w:left="72" w:right="72"/>
              <w:jc w:val="center"/>
              <w:cnfStyle w:val="000000010000" w:firstRow="0" w:lastRow="0" w:firstColumn="0" w:lastColumn="0" w:oddVBand="0" w:evenVBand="0" w:oddHBand="0" w:evenHBand="1" w:firstRowFirstColumn="0" w:firstRowLastColumn="0" w:lastRowFirstColumn="0" w:lastRowLastColumn="0"/>
              <w:rPr>
                <w:rFonts w:ascii="Verdana" w:eastAsia="Verdana" w:hAnsi="Verdana" w:cs="Times New Roman"/>
                <w:b/>
                <w:bCs/>
                <w:sz w:val="24"/>
                <w:szCs w:val="24"/>
              </w:rPr>
            </w:pPr>
            <w:r w:rsidRPr="002E757C">
              <w:rPr>
                <w:rFonts w:ascii="Wingdings" w:eastAsia="Wingdings" w:hAnsi="Wingdings" w:cs="Wingdings"/>
                <w:b/>
                <w:bCs/>
                <w:color w:val="4E9333" w:themeColor="accent3" w:themeShade="BF"/>
                <w:sz w:val="24"/>
                <w:szCs w:val="24"/>
              </w:rPr>
              <w:t>á</w:t>
            </w:r>
          </w:p>
        </w:tc>
        <w:tc>
          <w:tcPr>
            <w:tcW w:w="0" w:type="dxa"/>
          </w:tcPr>
          <w:p w14:paraId="619551F3" w14:textId="07D3086B" w:rsidR="3A99CCC4" w:rsidRDefault="3A99CCC4" w:rsidP="39065E54">
            <w:pPr>
              <w:spacing w:before="60" w:after="60" w:line="252" w:lineRule="auto"/>
              <w:ind w:left="72" w:right="72"/>
              <w:cnfStyle w:val="000000010000" w:firstRow="0" w:lastRow="0" w:firstColumn="0" w:lastColumn="0" w:oddVBand="0" w:evenVBand="0" w:oddHBand="0" w:evenHBand="1" w:firstRowFirstColumn="0" w:firstRowLastColumn="0" w:lastRowFirstColumn="0" w:lastRowLastColumn="0"/>
            </w:pPr>
            <w:r w:rsidRPr="39065E54">
              <w:rPr>
                <w:rFonts w:ascii="Verdana" w:eastAsia="Verdana" w:hAnsi="Verdana" w:cs="Times New Roman"/>
              </w:rPr>
              <w:t>Large</w:t>
            </w:r>
          </w:p>
        </w:tc>
      </w:tr>
      <w:tr w:rsidR="007C73F6" w:rsidRPr="007C73F6" w14:paraId="468D42B9" w14:textId="77777777" w:rsidTr="003B09DD">
        <w:trPr>
          <w:cnfStyle w:val="000000100000" w:firstRow="0" w:lastRow="0" w:firstColumn="0" w:lastColumn="0" w:oddVBand="0" w:evenVBand="0" w:oddHBand="1" w:evenHBand="0" w:firstRowFirstColumn="0" w:firstRowLastColumn="0" w:lastRowFirstColumn="0" w:lastRowLastColumn="0"/>
          <w:trHeight w:val="647"/>
        </w:trPr>
        <w:tc>
          <w:tcPr>
            <w:cnfStyle w:val="001000000000" w:firstRow="0" w:lastRow="0" w:firstColumn="1" w:lastColumn="0" w:oddVBand="0" w:evenVBand="0" w:oddHBand="0" w:evenHBand="0" w:firstRowFirstColumn="0" w:firstRowLastColumn="0" w:lastRowFirstColumn="0" w:lastRowLastColumn="0"/>
            <w:tcW w:w="1078" w:type="dxa"/>
          </w:tcPr>
          <w:p w14:paraId="1C097B09" w14:textId="77777777" w:rsidR="007C73F6" w:rsidRPr="007C73F6" w:rsidRDefault="007C73F6" w:rsidP="007C73F6">
            <w:pPr>
              <w:widowControl w:val="0"/>
              <w:spacing w:before="60" w:after="60" w:line="252" w:lineRule="auto"/>
              <w:ind w:left="72" w:right="72"/>
              <w:rPr>
                <w:rFonts w:ascii="Verdana" w:eastAsia="Verdana" w:hAnsi="Verdana" w:cs="Times New Roman"/>
              </w:rPr>
            </w:pPr>
            <w:r w:rsidRPr="007C73F6">
              <w:rPr>
                <w:rFonts w:ascii="Verdana" w:eastAsia="Verdana" w:hAnsi="Verdana" w:cs="Times New Roman"/>
              </w:rPr>
              <w:t>DPP BHS</w:t>
            </w:r>
          </w:p>
        </w:tc>
        <w:tc>
          <w:tcPr>
            <w:tcW w:w="3238" w:type="dxa"/>
          </w:tcPr>
          <w:p w14:paraId="32C1C3D7" w14:textId="7EBE56AB" w:rsidR="007C73F6" w:rsidRPr="007C73F6" w:rsidRDefault="007C73F6" w:rsidP="39065E54">
            <w:pPr>
              <w:widowControl w:val="0"/>
              <w:spacing w:before="60" w:after="60" w:line="252" w:lineRule="auto"/>
              <w:ind w:left="72" w:right="72"/>
              <w:cnfStyle w:val="000000100000" w:firstRow="0" w:lastRow="0" w:firstColumn="0" w:lastColumn="0" w:oddVBand="0" w:evenVBand="0" w:oddHBand="1" w:evenHBand="0" w:firstRowFirstColumn="0" w:firstRowLastColumn="0" w:lastRowFirstColumn="0" w:lastRowLastColumn="0"/>
              <w:rPr>
                <w:rFonts w:ascii="Verdana" w:eastAsia="Verdana" w:hAnsi="Verdana" w:cs="Times New Roman"/>
                <w:color w:val="000000" w:themeColor="text2"/>
              </w:rPr>
            </w:pPr>
            <w:r w:rsidRPr="39065E54">
              <w:rPr>
                <w:rFonts w:ascii="Verdana" w:eastAsia="Verdana" w:hAnsi="Verdana" w:cs="Times New Roman"/>
                <w:color w:val="000000" w:themeColor="text2"/>
              </w:rPr>
              <w:t>BMI screening</w:t>
            </w:r>
          </w:p>
        </w:tc>
        <w:tc>
          <w:tcPr>
            <w:tcW w:w="2524" w:type="dxa"/>
          </w:tcPr>
          <w:p w14:paraId="4E82D217" w14:textId="110610DD" w:rsidR="007C73F6" w:rsidRPr="007C73F6" w:rsidRDefault="10DDAC76" w:rsidP="39065E54">
            <w:pPr>
              <w:widowControl w:val="0"/>
              <w:spacing w:before="60" w:after="60" w:line="252" w:lineRule="auto"/>
              <w:ind w:left="72" w:right="72"/>
              <w:cnfStyle w:val="000000100000" w:firstRow="0" w:lastRow="0" w:firstColumn="0" w:lastColumn="0" w:oddVBand="0" w:evenVBand="0" w:oddHBand="1" w:evenHBand="0" w:firstRowFirstColumn="0" w:firstRowLastColumn="0" w:lastRowFirstColumn="0" w:lastRowLastColumn="0"/>
              <w:rPr>
                <w:rFonts w:ascii="Verdana" w:eastAsia="Verdana" w:hAnsi="Verdana" w:cs="Times New Roman"/>
                <w:color w:val="000000" w:themeColor="text2"/>
              </w:rPr>
            </w:pPr>
            <w:r w:rsidRPr="39065E54">
              <w:rPr>
                <w:rFonts w:ascii="Verdana" w:eastAsia="Verdana" w:hAnsi="Verdana" w:cs="Times New Roman"/>
                <w:color w:val="000000" w:themeColor="text2"/>
              </w:rPr>
              <w:t xml:space="preserve">Integrated physical and behavioral health </w:t>
            </w:r>
          </w:p>
        </w:tc>
        <w:tc>
          <w:tcPr>
            <w:tcW w:w="1253" w:type="dxa"/>
          </w:tcPr>
          <w:p w14:paraId="0BC2A509" w14:textId="08A024AF" w:rsidR="007C73F6" w:rsidRPr="007C73F6" w:rsidRDefault="10DDAC76" w:rsidP="007C73F6">
            <w:pPr>
              <w:widowControl w:val="0"/>
              <w:spacing w:before="60" w:after="60" w:line="252" w:lineRule="auto"/>
              <w:ind w:left="72" w:right="72"/>
              <w:jc w:val="center"/>
              <w:cnfStyle w:val="000000100000" w:firstRow="0" w:lastRow="0" w:firstColumn="0" w:lastColumn="0" w:oddVBand="0" w:evenVBand="0" w:oddHBand="1" w:evenHBand="0" w:firstRowFirstColumn="0" w:firstRowLastColumn="0" w:lastRowFirstColumn="0" w:lastRowLastColumn="0"/>
              <w:rPr>
                <w:rFonts w:ascii="Verdana" w:eastAsia="Verdana" w:hAnsi="Verdana" w:cs="Times New Roman"/>
              </w:rPr>
            </w:pPr>
            <w:r w:rsidRPr="39065E54">
              <w:rPr>
                <w:rFonts w:ascii="Verdana" w:eastAsia="Verdana" w:hAnsi="Verdana" w:cs="Times New Roman"/>
              </w:rPr>
              <w:t>40</w:t>
            </w:r>
          </w:p>
        </w:tc>
        <w:tc>
          <w:tcPr>
            <w:tcW w:w="1178" w:type="dxa"/>
          </w:tcPr>
          <w:p w14:paraId="4541F43B" w14:textId="77777777" w:rsidR="007C73F6" w:rsidRPr="002E757C" w:rsidRDefault="007C73F6" w:rsidP="007C73F6">
            <w:pPr>
              <w:widowControl w:val="0"/>
              <w:spacing w:before="60" w:after="60" w:line="252" w:lineRule="auto"/>
              <w:ind w:left="72" w:right="72"/>
              <w:jc w:val="center"/>
              <w:cnfStyle w:val="000000100000" w:firstRow="0" w:lastRow="0" w:firstColumn="0" w:lastColumn="0" w:oddVBand="0" w:evenVBand="0" w:oddHBand="1" w:evenHBand="0" w:firstRowFirstColumn="0" w:firstRowLastColumn="0" w:lastRowFirstColumn="0" w:lastRowLastColumn="0"/>
              <w:rPr>
                <w:rFonts w:ascii="Verdana" w:eastAsia="Verdana" w:hAnsi="Verdana" w:cs="Times New Roman"/>
                <w:b/>
                <w:bCs/>
                <w:sz w:val="24"/>
                <w:szCs w:val="24"/>
              </w:rPr>
            </w:pPr>
            <w:r w:rsidRPr="002E757C">
              <w:rPr>
                <w:rFonts w:ascii="Wingdings" w:eastAsia="Wingdings" w:hAnsi="Wingdings" w:cs="Wingdings"/>
                <w:b/>
                <w:bCs/>
                <w:color w:val="4E9333"/>
                <w:sz w:val="24"/>
                <w:szCs w:val="24"/>
              </w:rPr>
              <w:t>á</w:t>
            </w:r>
          </w:p>
        </w:tc>
        <w:tc>
          <w:tcPr>
            <w:tcW w:w="1349" w:type="dxa"/>
          </w:tcPr>
          <w:p w14:paraId="0E434A7C" w14:textId="77777777" w:rsidR="007C73F6" w:rsidRPr="007C73F6" w:rsidRDefault="007C73F6" w:rsidP="007C73F6">
            <w:pPr>
              <w:widowControl w:val="0"/>
              <w:spacing w:before="60" w:after="60" w:line="252" w:lineRule="auto"/>
              <w:ind w:left="72" w:right="72"/>
              <w:cnfStyle w:val="000000100000" w:firstRow="0" w:lastRow="0" w:firstColumn="0" w:lastColumn="0" w:oddVBand="0" w:evenVBand="0" w:oddHBand="1" w:evenHBand="0" w:firstRowFirstColumn="0" w:firstRowLastColumn="0" w:lastRowFirstColumn="0" w:lastRowLastColumn="0"/>
              <w:rPr>
                <w:rFonts w:ascii="Verdana" w:eastAsia="Verdana" w:hAnsi="Verdana" w:cs="Times New Roman"/>
              </w:rPr>
            </w:pPr>
            <w:r w:rsidRPr="007C73F6">
              <w:rPr>
                <w:rFonts w:ascii="Verdana" w:eastAsia="Verdana" w:hAnsi="Verdana" w:cs="Times New Roman"/>
              </w:rPr>
              <w:t>Medium</w:t>
            </w:r>
          </w:p>
        </w:tc>
      </w:tr>
      <w:tr w:rsidR="00EF15AF" w:rsidRPr="007C73F6" w14:paraId="09C6CED4" w14:textId="77777777" w:rsidTr="00EF15AF">
        <w:trPr>
          <w:cnfStyle w:val="000000010000" w:firstRow="0" w:lastRow="0" w:firstColumn="0" w:lastColumn="0" w:oddVBand="0" w:evenVBand="0" w:oddHBand="0" w:evenHBand="1" w:firstRowFirstColumn="0" w:firstRowLastColumn="0" w:lastRowFirstColumn="0" w:lastRowLastColumn="0"/>
          <w:trHeight w:val="632"/>
        </w:trPr>
        <w:tc>
          <w:tcPr>
            <w:cnfStyle w:val="001000000000" w:firstRow="0" w:lastRow="0" w:firstColumn="1" w:lastColumn="0" w:oddVBand="0" w:evenVBand="0" w:oddHBand="0" w:evenHBand="0" w:firstRowFirstColumn="0" w:firstRowLastColumn="0" w:lastRowFirstColumn="0" w:lastRowLastColumn="0"/>
            <w:tcW w:w="1078" w:type="dxa"/>
          </w:tcPr>
          <w:p w14:paraId="326CAAF8" w14:textId="59EAB359" w:rsidR="007C73F6" w:rsidRPr="007C73F6" w:rsidRDefault="29D81433" w:rsidP="39065E54">
            <w:pPr>
              <w:widowControl w:val="0"/>
              <w:spacing w:before="60" w:after="60" w:line="252" w:lineRule="auto"/>
              <w:ind w:left="72" w:right="72"/>
            </w:pPr>
            <w:r w:rsidRPr="39065E54">
              <w:rPr>
                <w:rFonts w:ascii="Verdana" w:eastAsia="Verdana" w:hAnsi="Verdana" w:cs="Times New Roman"/>
              </w:rPr>
              <w:t>RAPPS</w:t>
            </w:r>
          </w:p>
        </w:tc>
        <w:tc>
          <w:tcPr>
            <w:tcW w:w="3238" w:type="dxa"/>
          </w:tcPr>
          <w:p w14:paraId="0DE7BFF1" w14:textId="6AE0D89C" w:rsidR="007C73F6" w:rsidRPr="007C73F6" w:rsidRDefault="29D81433" w:rsidP="39065E54">
            <w:pPr>
              <w:widowControl w:val="0"/>
              <w:spacing w:before="60" w:after="60" w:line="252" w:lineRule="auto"/>
              <w:ind w:left="72" w:right="72"/>
              <w:cnfStyle w:val="000000010000" w:firstRow="0" w:lastRow="0" w:firstColumn="0" w:lastColumn="0" w:oddVBand="0" w:evenVBand="0" w:oddHBand="0" w:evenHBand="1" w:firstRowFirstColumn="0" w:firstRowLastColumn="0" w:lastRowFirstColumn="0" w:lastRowLastColumn="0"/>
              <w:rPr>
                <w:rFonts w:ascii="Verdana" w:eastAsia="Verdana" w:hAnsi="Verdana" w:cs="Times New Roman"/>
                <w:color w:val="000000" w:themeColor="text2"/>
              </w:rPr>
            </w:pPr>
            <w:r w:rsidRPr="39065E54">
              <w:rPr>
                <w:rFonts w:ascii="Verdana" w:eastAsia="Verdana" w:hAnsi="Verdana" w:cs="Times New Roman"/>
                <w:color w:val="000000" w:themeColor="text2"/>
              </w:rPr>
              <w:t>HbA1c Poor Control</w:t>
            </w:r>
            <w:r w:rsidRPr="39065E54">
              <w:rPr>
                <w:rFonts w:ascii="Verdana" w:eastAsia="Verdana" w:hAnsi="Verdana" w:cs="Times New Roman"/>
                <w:color w:val="000000" w:themeColor="text2"/>
                <w:vertAlign w:val="superscript"/>
              </w:rPr>
              <w:t>2</w:t>
            </w:r>
            <w:r w:rsidR="007C73F6" w:rsidRPr="39065E54">
              <w:rPr>
                <w:rFonts w:ascii="Verdana" w:eastAsia="Verdana" w:hAnsi="Verdana" w:cs="Times New Roman"/>
                <w:color w:val="000000" w:themeColor="text2"/>
              </w:rPr>
              <w:t xml:space="preserve"> </w:t>
            </w:r>
          </w:p>
        </w:tc>
        <w:tc>
          <w:tcPr>
            <w:tcW w:w="2524" w:type="dxa"/>
          </w:tcPr>
          <w:p w14:paraId="0EBB3DD8" w14:textId="04E7242F" w:rsidR="007C73F6" w:rsidRPr="007C73F6" w:rsidRDefault="007C73F6" w:rsidP="007C73F6">
            <w:pPr>
              <w:widowControl w:val="0"/>
              <w:spacing w:before="60" w:after="60" w:line="252" w:lineRule="auto"/>
              <w:ind w:left="72" w:right="72"/>
              <w:cnfStyle w:val="000000010000" w:firstRow="0" w:lastRow="0" w:firstColumn="0" w:lastColumn="0" w:oddVBand="0" w:evenVBand="0" w:oddHBand="0" w:evenHBand="1" w:firstRowFirstColumn="0" w:firstRowLastColumn="0" w:lastRowFirstColumn="0" w:lastRowLastColumn="0"/>
              <w:rPr>
                <w:rFonts w:ascii="Verdana" w:eastAsia="Verdana" w:hAnsi="Verdana" w:cs="Times New Roman"/>
              </w:rPr>
            </w:pPr>
            <w:r w:rsidRPr="39065E54">
              <w:rPr>
                <w:rFonts w:ascii="Verdana" w:eastAsia="Verdana" w:hAnsi="Verdana" w:cs="Times New Roman"/>
                <w:color w:val="000000" w:themeColor="text2"/>
              </w:rPr>
              <w:t>P</w:t>
            </w:r>
            <w:r w:rsidR="092A86CC" w:rsidRPr="39065E54">
              <w:rPr>
                <w:rFonts w:ascii="Verdana" w:eastAsia="Verdana" w:hAnsi="Verdana" w:cs="Times New Roman"/>
                <w:color w:val="000000" w:themeColor="text2"/>
              </w:rPr>
              <w:t>ersonnel in care coordination role</w:t>
            </w:r>
            <w:r w:rsidRPr="39065E54">
              <w:rPr>
                <w:rFonts w:ascii="Verdana" w:eastAsia="Verdana" w:hAnsi="Verdana" w:cs="Times New Roman"/>
                <w:color w:val="000000" w:themeColor="text2"/>
              </w:rPr>
              <w:t xml:space="preserve"> </w:t>
            </w:r>
          </w:p>
        </w:tc>
        <w:tc>
          <w:tcPr>
            <w:tcW w:w="1253" w:type="dxa"/>
          </w:tcPr>
          <w:p w14:paraId="40405146" w14:textId="6E32E1EB" w:rsidR="007C73F6" w:rsidRPr="007C73F6" w:rsidRDefault="5D5F6F55" w:rsidP="39065E54">
            <w:pPr>
              <w:widowControl w:val="0"/>
              <w:spacing w:before="60" w:after="60" w:line="252" w:lineRule="auto"/>
              <w:ind w:left="72" w:right="72"/>
              <w:jc w:val="center"/>
              <w:cnfStyle w:val="000000010000" w:firstRow="0" w:lastRow="0" w:firstColumn="0" w:lastColumn="0" w:oddVBand="0" w:evenVBand="0" w:oddHBand="0" w:evenHBand="1" w:firstRowFirstColumn="0" w:firstRowLastColumn="0" w:lastRowFirstColumn="0" w:lastRowLastColumn="0"/>
            </w:pPr>
            <w:r w:rsidRPr="39065E54">
              <w:rPr>
                <w:rFonts w:ascii="Verdana" w:eastAsia="Verdana" w:hAnsi="Verdana" w:cs="Times New Roman"/>
              </w:rPr>
              <w:t>102</w:t>
            </w:r>
          </w:p>
        </w:tc>
        <w:tc>
          <w:tcPr>
            <w:tcW w:w="1178" w:type="dxa"/>
          </w:tcPr>
          <w:p w14:paraId="7E7AC10B" w14:textId="5512960C" w:rsidR="007C73F6" w:rsidRPr="002E757C" w:rsidRDefault="4DAAC783" w:rsidP="39065E54">
            <w:pPr>
              <w:widowControl w:val="0"/>
              <w:spacing w:before="60" w:after="60" w:line="252" w:lineRule="auto"/>
              <w:ind w:left="72" w:right="72"/>
              <w:jc w:val="center"/>
              <w:cnfStyle w:val="000000010000" w:firstRow="0" w:lastRow="0" w:firstColumn="0" w:lastColumn="0" w:oddVBand="0" w:evenVBand="0" w:oddHBand="0" w:evenHBand="1" w:firstRowFirstColumn="0" w:firstRowLastColumn="0" w:lastRowFirstColumn="0" w:lastRowLastColumn="0"/>
              <w:rPr>
                <w:rFonts w:ascii="Wingdings" w:eastAsia="Wingdings" w:hAnsi="Wingdings" w:cs="Wingdings"/>
                <w:b/>
                <w:bCs/>
                <w:color w:val="4E9333"/>
                <w:sz w:val="24"/>
                <w:szCs w:val="24"/>
              </w:rPr>
            </w:pPr>
            <w:r w:rsidRPr="002E757C">
              <w:rPr>
                <w:rFonts w:ascii="Wingdings" w:eastAsia="Wingdings" w:hAnsi="Wingdings" w:cs="Wingdings"/>
                <w:b/>
                <w:bCs/>
                <w:color w:val="4E9333" w:themeColor="accent3" w:themeShade="BF"/>
                <w:sz w:val="24"/>
                <w:szCs w:val="24"/>
              </w:rPr>
              <w:t>â</w:t>
            </w:r>
          </w:p>
        </w:tc>
        <w:tc>
          <w:tcPr>
            <w:tcW w:w="1349" w:type="dxa"/>
          </w:tcPr>
          <w:p w14:paraId="464CC24D" w14:textId="63EDEFE0" w:rsidR="007C73F6" w:rsidRPr="007C73F6" w:rsidRDefault="007C73F6" w:rsidP="39065E54">
            <w:pPr>
              <w:widowControl w:val="0"/>
              <w:spacing w:before="60" w:after="60" w:line="252" w:lineRule="auto"/>
              <w:ind w:left="72" w:right="72"/>
              <w:cnfStyle w:val="000000010000" w:firstRow="0" w:lastRow="0" w:firstColumn="0" w:lastColumn="0" w:oddVBand="0" w:evenVBand="0" w:oddHBand="0" w:evenHBand="1" w:firstRowFirstColumn="0" w:firstRowLastColumn="0" w:lastRowFirstColumn="0" w:lastRowLastColumn="0"/>
              <w:rPr>
                <w:rFonts w:ascii="Verdana" w:eastAsia="Verdana" w:hAnsi="Verdana" w:cs="Times New Roman"/>
                <w:vertAlign w:val="superscript"/>
              </w:rPr>
            </w:pPr>
            <w:r w:rsidRPr="39065E54">
              <w:rPr>
                <w:rFonts w:ascii="Verdana" w:eastAsia="Verdana" w:hAnsi="Verdana" w:cs="Times New Roman"/>
              </w:rPr>
              <w:t>Medium</w:t>
            </w:r>
          </w:p>
        </w:tc>
      </w:tr>
      <w:tr w:rsidR="39065E54" w14:paraId="27C90485" w14:textId="77777777" w:rsidTr="003B09DD">
        <w:trPr>
          <w:cnfStyle w:val="000000100000" w:firstRow="0" w:lastRow="0" w:firstColumn="0" w:lastColumn="0" w:oddVBand="0" w:evenVBand="0" w:oddHBand="1" w:evenHBand="0" w:firstRowFirstColumn="0" w:firstRowLastColumn="0" w:lastRowFirstColumn="0" w:lastRowLastColumn="0"/>
          <w:trHeight w:val="632"/>
        </w:trPr>
        <w:tc>
          <w:tcPr>
            <w:cnfStyle w:val="001000000000" w:firstRow="0" w:lastRow="0" w:firstColumn="1" w:lastColumn="0" w:oddVBand="0" w:evenVBand="0" w:oddHBand="0" w:evenHBand="0" w:firstRowFirstColumn="0" w:firstRowLastColumn="0" w:lastRowFirstColumn="0" w:lastRowLastColumn="0"/>
            <w:tcW w:w="1078" w:type="dxa"/>
          </w:tcPr>
          <w:p w14:paraId="312EF083" w14:textId="579BF73F" w:rsidR="1A54B1CE" w:rsidRDefault="1A54B1CE" w:rsidP="39065E54">
            <w:pPr>
              <w:spacing w:before="60" w:after="60" w:line="252" w:lineRule="auto"/>
              <w:ind w:left="72" w:right="72"/>
              <w:rPr>
                <w:rFonts w:ascii="Verdana" w:eastAsia="Verdana" w:hAnsi="Verdana" w:cs="Times New Roman"/>
              </w:rPr>
            </w:pPr>
            <w:r w:rsidRPr="39065E54">
              <w:rPr>
                <w:rFonts w:ascii="Verdana" w:eastAsia="Verdana" w:hAnsi="Verdana" w:cs="Times New Roman"/>
              </w:rPr>
              <w:t>TIPPS</w:t>
            </w:r>
          </w:p>
        </w:tc>
        <w:tc>
          <w:tcPr>
            <w:tcW w:w="3238" w:type="dxa"/>
          </w:tcPr>
          <w:p w14:paraId="7AFE7791" w14:textId="29CF5A75" w:rsidR="1A54B1CE" w:rsidRDefault="1A54B1CE" w:rsidP="39065E54">
            <w:pPr>
              <w:spacing w:before="60" w:after="60" w:line="252" w:lineRule="auto"/>
              <w:ind w:left="72" w:right="72"/>
              <w:cnfStyle w:val="000000100000" w:firstRow="0" w:lastRow="0" w:firstColumn="0" w:lastColumn="0" w:oddVBand="0" w:evenVBand="0" w:oddHBand="1" w:evenHBand="0" w:firstRowFirstColumn="0" w:firstRowLastColumn="0" w:lastRowFirstColumn="0" w:lastRowLastColumn="0"/>
              <w:rPr>
                <w:rFonts w:ascii="Verdana" w:eastAsia="Verdana" w:hAnsi="Verdana" w:cs="Times New Roman"/>
                <w:color w:val="000000" w:themeColor="text2"/>
              </w:rPr>
            </w:pPr>
            <w:r w:rsidRPr="39065E54">
              <w:rPr>
                <w:rFonts w:ascii="Verdana" w:eastAsia="Verdana" w:hAnsi="Verdana" w:cs="Times New Roman"/>
                <w:color w:val="000000" w:themeColor="text2"/>
              </w:rPr>
              <w:t>Childhood Immunization Status</w:t>
            </w:r>
          </w:p>
        </w:tc>
        <w:tc>
          <w:tcPr>
            <w:tcW w:w="2524" w:type="dxa"/>
          </w:tcPr>
          <w:p w14:paraId="78FBFCD7" w14:textId="41B63F32" w:rsidR="1A54B1CE" w:rsidRDefault="1A54B1CE" w:rsidP="39065E54">
            <w:pPr>
              <w:spacing w:before="60" w:after="60" w:line="252" w:lineRule="auto"/>
              <w:ind w:left="72" w:right="72"/>
              <w:cnfStyle w:val="000000100000" w:firstRow="0" w:lastRow="0" w:firstColumn="0" w:lastColumn="0" w:oddVBand="0" w:evenVBand="0" w:oddHBand="1" w:evenHBand="0" w:firstRowFirstColumn="0" w:firstRowLastColumn="0" w:lastRowFirstColumn="0" w:lastRowLastColumn="0"/>
              <w:rPr>
                <w:rFonts w:ascii="Verdana" w:eastAsia="Verdana" w:hAnsi="Verdana" w:cs="Times New Roman"/>
                <w:color w:val="000000" w:themeColor="text2"/>
              </w:rPr>
            </w:pPr>
            <w:r w:rsidRPr="39065E54">
              <w:rPr>
                <w:rFonts w:ascii="Verdana" w:eastAsia="Verdana" w:hAnsi="Verdana" w:cs="Times New Roman"/>
                <w:color w:val="000000" w:themeColor="text2"/>
              </w:rPr>
              <w:t>PCMH Status</w:t>
            </w:r>
          </w:p>
        </w:tc>
        <w:tc>
          <w:tcPr>
            <w:tcW w:w="1253" w:type="dxa"/>
          </w:tcPr>
          <w:p w14:paraId="74CC79D3" w14:textId="3FF99107" w:rsidR="1A54B1CE" w:rsidRDefault="1A54B1CE" w:rsidP="39065E54">
            <w:pPr>
              <w:spacing w:line="252" w:lineRule="auto"/>
              <w:jc w:val="center"/>
              <w:cnfStyle w:val="000000100000" w:firstRow="0" w:lastRow="0" w:firstColumn="0" w:lastColumn="0" w:oddVBand="0" w:evenVBand="0" w:oddHBand="1" w:evenHBand="0" w:firstRowFirstColumn="0" w:firstRowLastColumn="0" w:lastRowFirstColumn="0" w:lastRowLastColumn="0"/>
              <w:rPr>
                <w:rFonts w:ascii="Verdana" w:eastAsia="Verdana" w:hAnsi="Verdana" w:cs="Times New Roman"/>
              </w:rPr>
            </w:pPr>
            <w:r w:rsidRPr="39065E54">
              <w:rPr>
                <w:rFonts w:ascii="Verdana" w:eastAsia="Verdana" w:hAnsi="Verdana" w:cs="Times New Roman"/>
              </w:rPr>
              <w:t>21</w:t>
            </w:r>
          </w:p>
        </w:tc>
        <w:tc>
          <w:tcPr>
            <w:tcW w:w="1178" w:type="dxa"/>
          </w:tcPr>
          <w:p w14:paraId="40DFD336" w14:textId="3B12B7A5" w:rsidR="25E8E5DF" w:rsidRPr="002E757C" w:rsidRDefault="25E8E5DF" w:rsidP="39065E54">
            <w:pPr>
              <w:widowControl w:val="0"/>
              <w:spacing w:before="60" w:after="60" w:line="252" w:lineRule="auto"/>
              <w:ind w:left="72" w:right="72"/>
              <w:jc w:val="center"/>
              <w:cnfStyle w:val="000000100000" w:firstRow="0" w:lastRow="0" w:firstColumn="0" w:lastColumn="0" w:oddVBand="0" w:evenVBand="0" w:oddHBand="1" w:evenHBand="0" w:firstRowFirstColumn="0" w:firstRowLastColumn="0" w:lastRowFirstColumn="0" w:lastRowLastColumn="0"/>
              <w:rPr>
                <w:rFonts w:ascii="Verdana" w:eastAsia="Verdana" w:hAnsi="Verdana" w:cs="Times New Roman"/>
                <w:b/>
                <w:bCs/>
                <w:sz w:val="24"/>
                <w:szCs w:val="24"/>
              </w:rPr>
            </w:pPr>
            <w:r w:rsidRPr="002E757C">
              <w:rPr>
                <w:rFonts w:ascii="Wingdings" w:eastAsia="Wingdings" w:hAnsi="Wingdings" w:cs="Wingdings"/>
                <w:b/>
                <w:bCs/>
                <w:color w:val="4E9333" w:themeColor="accent3" w:themeShade="BF"/>
                <w:sz w:val="24"/>
                <w:szCs w:val="24"/>
              </w:rPr>
              <w:t>á</w:t>
            </w:r>
          </w:p>
        </w:tc>
        <w:tc>
          <w:tcPr>
            <w:tcW w:w="1349" w:type="dxa"/>
          </w:tcPr>
          <w:p w14:paraId="0C0E8935" w14:textId="24ABC9D8" w:rsidR="1A54B1CE" w:rsidRDefault="1A54B1CE" w:rsidP="39065E54">
            <w:pPr>
              <w:spacing w:before="60" w:after="60" w:line="252" w:lineRule="auto"/>
              <w:ind w:left="72" w:right="72"/>
              <w:cnfStyle w:val="000000100000" w:firstRow="0" w:lastRow="0" w:firstColumn="0" w:lastColumn="0" w:oddVBand="0" w:evenVBand="0" w:oddHBand="1" w:evenHBand="0" w:firstRowFirstColumn="0" w:firstRowLastColumn="0" w:lastRowFirstColumn="0" w:lastRowLastColumn="0"/>
              <w:rPr>
                <w:rFonts w:ascii="Verdana" w:eastAsia="Verdana" w:hAnsi="Verdana" w:cs="Times New Roman"/>
              </w:rPr>
            </w:pPr>
            <w:r w:rsidRPr="39065E54">
              <w:rPr>
                <w:rFonts w:ascii="Verdana" w:eastAsia="Verdana" w:hAnsi="Verdana" w:cs="Times New Roman"/>
              </w:rPr>
              <w:t>Large</w:t>
            </w:r>
            <w:r w:rsidRPr="39065E54">
              <w:rPr>
                <w:rFonts w:ascii="Verdana" w:eastAsia="Verdana" w:hAnsi="Verdana" w:cs="Times New Roman"/>
                <w:vertAlign w:val="superscript"/>
              </w:rPr>
              <w:t>3</w:t>
            </w:r>
          </w:p>
        </w:tc>
      </w:tr>
      <w:tr w:rsidR="00EF15AF" w:rsidRPr="007C73F6" w14:paraId="197476ED" w14:textId="77777777" w:rsidTr="00EF15AF">
        <w:trPr>
          <w:cnfStyle w:val="000000010000" w:firstRow="0" w:lastRow="0" w:firstColumn="0" w:lastColumn="0" w:oddVBand="0" w:evenVBand="0" w:oddHBand="0" w:evenHBand="1" w:firstRowFirstColumn="0" w:firstRowLastColumn="0" w:lastRowFirstColumn="0" w:lastRowLastColumn="0"/>
          <w:trHeight w:val="632"/>
        </w:trPr>
        <w:tc>
          <w:tcPr>
            <w:cnfStyle w:val="001000000000" w:firstRow="0" w:lastRow="0" w:firstColumn="1" w:lastColumn="0" w:oddVBand="0" w:evenVBand="0" w:oddHBand="0" w:evenHBand="0" w:firstRowFirstColumn="0" w:firstRowLastColumn="0" w:lastRowFirstColumn="0" w:lastRowLastColumn="0"/>
            <w:tcW w:w="1078" w:type="dxa"/>
          </w:tcPr>
          <w:p w14:paraId="2AF9601A" w14:textId="77777777" w:rsidR="007C73F6" w:rsidRPr="005156C4" w:rsidRDefault="007C73F6" w:rsidP="007C73F6">
            <w:pPr>
              <w:widowControl w:val="0"/>
              <w:spacing w:before="60" w:after="60" w:line="252" w:lineRule="auto"/>
              <w:ind w:left="72" w:right="72"/>
              <w:rPr>
                <w:rFonts w:ascii="Verdana" w:eastAsia="Verdana" w:hAnsi="Verdana" w:cs="Times New Roman"/>
              </w:rPr>
            </w:pPr>
            <w:r w:rsidRPr="005156C4">
              <w:rPr>
                <w:rFonts w:ascii="Verdana" w:eastAsia="Verdana" w:hAnsi="Verdana" w:cs="Times New Roman"/>
              </w:rPr>
              <w:t>TIPPS</w:t>
            </w:r>
          </w:p>
        </w:tc>
        <w:tc>
          <w:tcPr>
            <w:tcW w:w="3238" w:type="dxa"/>
          </w:tcPr>
          <w:p w14:paraId="3BE88B0E" w14:textId="0150099F" w:rsidR="007C73F6" w:rsidRPr="005156C4" w:rsidRDefault="007C73F6" w:rsidP="007C73F6">
            <w:pPr>
              <w:widowControl w:val="0"/>
              <w:spacing w:before="60" w:after="60" w:line="252" w:lineRule="auto"/>
              <w:ind w:left="72" w:right="72"/>
              <w:cnfStyle w:val="000000010000" w:firstRow="0" w:lastRow="0" w:firstColumn="0" w:lastColumn="0" w:oddVBand="0" w:evenVBand="0" w:oddHBand="0" w:evenHBand="1" w:firstRowFirstColumn="0" w:firstRowLastColumn="0" w:lastRowFirstColumn="0" w:lastRowLastColumn="0"/>
              <w:rPr>
                <w:rFonts w:ascii="Verdana" w:eastAsia="Verdana" w:hAnsi="Verdana" w:cs="Times New Roman"/>
              </w:rPr>
            </w:pPr>
            <w:r w:rsidRPr="005156C4">
              <w:rPr>
                <w:rFonts w:ascii="Verdana" w:eastAsia="Verdana" w:hAnsi="Verdana" w:cs="Times New Roman"/>
                <w:color w:val="000000"/>
              </w:rPr>
              <w:t xml:space="preserve">Depression screening </w:t>
            </w:r>
          </w:p>
        </w:tc>
        <w:tc>
          <w:tcPr>
            <w:tcW w:w="2524" w:type="dxa"/>
          </w:tcPr>
          <w:p w14:paraId="632B681C" w14:textId="768DBC20" w:rsidR="007C73F6" w:rsidRPr="005156C4" w:rsidRDefault="007C73F6" w:rsidP="007C73F6">
            <w:pPr>
              <w:widowControl w:val="0"/>
              <w:spacing w:before="60" w:after="60" w:line="252" w:lineRule="auto"/>
              <w:ind w:left="72" w:right="72"/>
              <w:cnfStyle w:val="000000010000" w:firstRow="0" w:lastRow="0" w:firstColumn="0" w:lastColumn="0" w:oddVBand="0" w:evenVBand="0" w:oddHBand="0" w:evenHBand="1" w:firstRowFirstColumn="0" w:firstRowLastColumn="0" w:lastRowFirstColumn="0" w:lastRowLastColumn="0"/>
              <w:rPr>
                <w:rFonts w:ascii="Verdana" w:eastAsia="Verdana" w:hAnsi="Verdana" w:cs="Times New Roman"/>
              </w:rPr>
            </w:pPr>
            <w:r w:rsidRPr="005156C4">
              <w:rPr>
                <w:rFonts w:ascii="Verdana" w:eastAsia="Verdana" w:hAnsi="Verdana" w:cs="Times New Roman"/>
                <w:color w:val="000000"/>
              </w:rPr>
              <w:t xml:space="preserve">PCMH Status </w:t>
            </w:r>
          </w:p>
        </w:tc>
        <w:tc>
          <w:tcPr>
            <w:tcW w:w="1253" w:type="dxa"/>
          </w:tcPr>
          <w:p w14:paraId="1345D3B7" w14:textId="5D396FB3" w:rsidR="007C73F6" w:rsidRPr="005156C4" w:rsidRDefault="007C73F6" w:rsidP="007C73F6">
            <w:pPr>
              <w:widowControl w:val="0"/>
              <w:spacing w:before="60" w:after="60" w:line="252" w:lineRule="auto"/>
              <w:ind w:left="72" w:right="72"/>
              <w:jc w:val="center"/>
              <w:cnfStyle w:val="000000010000" w:firstRow="0" w:lastRow="0" w:firstColumn="0" w:lastColumn="0" w:oddVBand="0" w:evenVBand="0" w:oddHBand="0" w:evenHBand="1" w:firstRowFirstColumn="0" w:firstRowLastColumn="0" w:lastRowFirstColumn="0" w:lastRowLastColumn="0"/>
              <w:rPr>
                <w:rFonts w:ascii="Verdana" w:eastAsia="Verdana" w:hAnsi="Verdana" w:cs="Times New Roman"/>
              </w:rPr>
            </w:pPr>
            <w:r w:rsidRPr="39065E54">
              <w:rPr>
                <w:rFonts w:ascii="Verdana" w:eastAsia="Verdana" w:hAnsi="Verdana" w:cs="Times New Roman"/>
              </w:rPr>
              <w:t>2</w:t>
            </w:r>
            <w:r w:rsidR="5F602D63" w:rsidRPr="39065E54">
              <w:rPr>
                <w:rFonts w:ascii="Verdana" w:eastAsia="Verdana" w:hAnsi="Verdana" w:cs="Times New Roman"/>
              </w:rPr>
              <w:t>2</w:t>
            </w:r>
          </w:p>
        </w:tc>
        <w:tc>
          <w:tcPr>
            <w:tcW w:w="1178" w:type="dxa"/>
          </w:tcPr>
          <w:p w14:paraId="78D7C947" w14:textId="77777777" w:rsidR="007C73F6" w:rsidRPr="002E757C" w:rsidRDefault="007C73F6" w:rsidP="007C73F6">
            <w:pPr>
              <w:widowControl w:val="0"/>
              <w:spacing w:before="60" w:after="60" w:line="252" w:lineRule="auto"/>
              <w:ind w:left="72" w:right="72"/>
              <w:jc w:val="center"/>
              <w:cnfStyle w:val="000000010000" w:firstRow="0" w:lastRow="0" w:firstColumn="0" w:lastColumn="0" w:oddVBand="0" w:evenVBand="0" w:oddHBand="0" w:evenHBand="1" w:firstRowFirstColumn="0" w:firstRowLastColumn="0" w:lastRowFirstColumn="0" w:lastRowLastColumn="0"/>
              <w:rPr>
                <w:rFonts w:ascii="Verdana" w:eastAsia="Verdana" w:hAnsi="Verdana" w:cs="Times New Roman"/>
                <w:b/>
                <w:bCs/>
                <w:color w:val="4E9333"/>
                <w:sz w:val="24"/>
                <w:szCs w:val="24"/>
              </w:rPr>
            </w:pPr>
            <w:r w:rsidRPr="002E757C">
              <w:rPr>
                <w:rFonts w:ascii="Wingdings" w:eastAsia="Wingdings" w:hAnsi="Wingdings" w:cs="Wingdings"/>
                <w:b/>
                <w:bCs/>
                <w:color w:val="4E9333"/>
                <w:sz w:val="24"/>
                <w:szCs w:val="24"/>
              </w:rPr>
              <w:t>á</w:t>
            </w:r>
          </w:p>
        </w:tc>
        <w:tc>
          <w:tcPr>
            <w:tcW w:w="1349" w:type="dxa"/>
          </w:tcPr>
          <w:p w14:paraId="095192AC" w14:textId="7151FFBD" w:rsidR="007C73F6" w:rsidRPr="005156C4" w:rsidRDefault="58F996FF" w:rsidP="39065E54">
            <w:pPr>
              <w:pStyle w:val="BodyText"/>
              <w:widowControl w:val="0"/>
              <w:spacing w:before="60" w:after="60" w:line="252" w:lineRule="auto"/>
              <w:ind w:left="72" w:right="72"/>
              <w:cnfStyle w:val="000000010000" w:firstRow="0" w:lastRow="0" w:firstColumn="0" w:lastColumn="0" w:oddVBand="0" w:evenVBand="0" w:oddHBand="0" w:evenHBand="1" w:firstRowFirstColumn="0" w:firstRowLastColumn="0" w:lastRowFirstColumn="0" w:lastRowLastColumn="0"/>
              <w:rPr>
                <w:rFonts w:ascii="Verdana" w:eastAsia="Verdana" w:hAnsi="Verdana" w:cs="Times New Roman"/>
              </w:rPr>
            </w:pPr>
            <w:r w:rsidRPr="39065E54">
              <w:rPr>
                <w:rFonts w:ascii="Verdana" w:eastAsia="Verdana" w:hAnsi="Verdana" w:cs="Times New Roman"/>
              </w:rPr>
              <w:t>Medium</w:t>
            </w:r>
            <w:r w:rsidR="1E051295" w:rsidRPr="39065E54">
              <w:rPr>
                <w:rFonts w:ascii="Verdana" w:eastAsia="Verdana" w:hAnsi="Verdana" w:cs="Times New Roman"/>
                <w:vertAlign w:val="superscript"/>
              </w:rPr>
              <w:t>3</w:t>
            </w:r>
          </w:p>
        </w:tc>
      </w:tr>
      <w:tr w:rsidR="007C73F6" w:rsidRPr="007C73F6" w14:paraId="4190620A" w14:textId="77777777" w:rsidTr="003B09DD">
        <w:trPr>
          <w:cnfStyle w:val="000000100000" w:firstRow="0" w:lastRow="0" w:firstColumn="0" w:lastColumn="0" w:oddVBand="0" w:evenVBand="0" w:oddHBand="1" w:evenHBand="0" w:firstRowFirstColumn="0" w:firstRowLastColumn="0" w:lastRowFirstColumn="0" w:lastRowLastColumn="0"/>
          <w:trHeight w:val="632"/>
        </w:trPr>
        <w:tc>
          <w:tcPr>
            <w:cnfStyle w:val="001000000000" w:firstRow="0" w:lastRow="0" w:firstColumn="1" w:lastColumn="0" w:oddVBand="0" w:evenVBand="0" w:oddHBand="0" w:evenHBand="0" w:firstRowFirstColumn="0" w:firstRowLastColumn="0" w:lastRowFirstColumn="0" w:lastRowLastColumn="0"/>
            <w:tcW w:w="1078" w:type="dxa"/>
          </w:tcPr>
          <w:p w14:paraId="24031C8B" w14:textId="77777777" w:rsidR="007C73F6" w:rsidRPr="007C73F6" w:rsidRDefault="007C73F6" w:rsidP="007C73F6">
            <w:pPr>
              <w:widowControl w:val="0"/>
              <w:spacing w:before="60" w:after="60" w:line="252" w:lineRule="auto"/>
              <w:ind w:left="72" w:right="72"/>
              <w:rPr>
                <w:rFonts w:ascii="Verdana" w:eastAsia="Verdana" w:hAnsi="Verdana" w:cs="Times New Roman"/>
              </w:rPr>
            </w:pPr>
            <w:r w:rsidRPr="007C73F6">
              <w:rPr>
                <w:rFonts w:ascii="Verdana" w:eastAsia="Verdana" w:hAnsi="Verdana" w:cs="Times New Roman"/>
              </w:rPr>
              <w:t>TIPPS</w:t>
            </w:r>
          </w:p>
        </w:tc>
        <w:tc>
          <w:tcPr>
            <w:tcW w:w="3238" w:type="dxa"/>
          </w:tcPr>
          <w:p w14:paraId="266ACE0C" w14:textId="01A37DC9" w:rsidR="007C73F6" w:rsidRPr="007C73F6" w:rsidRDefault="53F61A32" w:rsidP="39065E54">
            <w:pPr>
              <w:widowControl w:val="0"/>
              <w:spacing w:before="60" w:after="60" w:line="252" w:lineRule="auto"/>
              <w:ind w:left="72" w:right="72"/>
              <w:cnfStyle w:val="000000100000" w:firstRow="0" w:lastRow="0" w:firstColumn="0" w:lastColumn="0" w:oddVBand="0" w:evenVBand="0" w:oddHBand="1" w:evenHBand="0" w:firstRowFirstColumn="0" w:firstRowLastColumn="0" w:lastRowFirstColumn="0" w:lastRowLastColumn="0"/>
            </w:pPr>
            <w:r w:rsidRPr="39065E54">
              <w:rPr>
                <w:rFonts w:ascii="Verdana" w:eastAsia="Verdana" w:hAnsi="Verdana" w:cs="Times New Roman"/>
                <w:color w:val="000000" w:themeColor="text2"/>
              </w:rPr>
              <w:t>Tobacco Use and Help with Quitting Among Adolescents</w:t>
            </w:r>
          </w:p>
        </w:tc>
        <w:tc>
          <w:tcPr>
            <w:tcW w:w="2524" w:type="dxa"/>
          </w:tcPr>
          <w:p w14:paraId="6A6F7C1F" w14:textId="10530EE5" w:rsidR="007C73F6" w:rsidRPr="007C73F6" w:rsidRDefault="007C73F6" w:rsidP="007C73F6">
            <w:pPr>
              <w:widowControl w:val="0"/>
              <w:spacing w:before="60" w:after="60" w:line="252" w:lineRule="auto"/>
              <w:ind w:left="72" w:right="72"/>
              <w:cnfStyle w:val="000000100000" w:firstRow="0" w:lastRow="0" w:firstColumn="0" w:lastColumn="0" w:oddVBand="0" w:evenVBand="0" w:oddHBand="1" w:evenHBand="0" w:firstRowFirstColumn="0" w:firstRowLastColumn="0" w:lastRowFirstColumn="0" w:lastRowLastColumn="0"/>
              <w:rPr>
                <w:rFonts w:ascii="Verdana" w:eastAsia="Verdana" w:hAnsi="Verdana" w:cs="Times New Roman"/>
              </w:rPr>
            </w:pPr>
            <w:r w:rsidRPr="007C73F6">
              <w:rPr>
                <w:rFonts w:ascii="Verdana" w:eastAsia="Verdana" w:hAnsi="Verdana" w:cs="Times New Roman"/>
                <w:color w:val="000000"/>
              </w:rPr>
              <w:t>PCMH Status</w:t>
            </w:r>
          </w:p>
        </w:tc>
        <w:tc>
          <w:tcPr>
            <w:tcW w:w="1253" w:type="dxa"/>
          </w:tcPr>
          <w:p w14:paraId="51F9A254" w14:textId="6B5F82C8" w:rsidR="007C73F6" w:rsidRPr="007C73F6" w:rsidRDefault="007C73F6" w:rsidP="007C73F6">
            <w:pPr>
              <w:widowControl w:val="0"/>
              <w:spacing w:before="60" w:after="60" w:line="252" w:lineRule="auto"/>
              <w:ind w:left="72" w:right="72"/>
              <w:jc w:val="center"/>
              <w:cnfStyle w:val="000000100000" w:firstRow="0" w:lastRow="0" w:firstColumn="0" w:lastColumn="0" w:oddVBand="0" w:evenVBand="0" w:oddHBand="1" w:evenHBand="0" w:firstRowFirstColumn="0" w:firstRowLastColumn="0" w:lastRowFirstColumn="0" w:lastRowLastColumn="0"/>
              <w:rPr>
                <w:rFonts w:ascii="Verdana" w:eastAsia="Verdana" w:hAnsi="Verdana" w:cs="Times New Roman"/>
              </w:rPr>
            </w:pPr>
            <w:r w:rsidRPr="39065E54">
              <w:rPr>
                <w:rFonts w:ascii="Verdana" w:eastAsia="Verdana" w:hAnsi="Verdana" w:cs="Times New Roman"/>
              </w:rPr>
              <w:t>2</w:t>
            </w:r>
            <w:r w:rsidR="7EF1F734" w:rsidRPr="39065E54">
              <w:rPr>
                <w:rFonts w:ascii="Verdana" w:eastAsia="Verdana" w:hAnsi="Verdana" w:cs="Times New Roman"/>
              </w:rPr>
              <w:t>2</w:t>
            </w:r>
          </w:p>
        </w:tc>
        <w:tc>
          <w:tcPr>
            <w:tcW w:w="1178" w:type="dxa"/>
          </w:tcPr>
          <w:p w14:paraId="44109CF0" w14:textId="77777777" w:rsidR="007C73F6" w:rsidRPr="002E757C" w:rsidRDefault="4550CC7D" w:rsidP="39065E54">
            <w:pPr>
              <w:widowControl w:val="0"/>
              <w:spacing w:before="60" w:after="60" w:line="252" w:lineRule="auto"/>
              <w:ind w:left="72" w:right="72"/>
              <w:jc w:val="center"/>
              <w:cnfStyle w:val="000000100000" w:firstRow="0" w:lastRow="0" w:firstColumn="0" w:lastColumn="0" w:oddVBand="0" w:evenVBand="0" w:oddHBand="1" w:evenHBand="0" w:firstRowFirstColumn="0" w:firstRowLastColumn="0" w:lastRowFirstColumn="0" w:lastRowLastColumn="0"/>
              <w:rPr>
                <w:rFonts w:ascii="Verdana" w:eastAsia="Verdana" w:hAnsi="Verdana" w:cs="Times New Roman"/>
                <w:b/>
                <w:bCs/>
                <w:sz w:val="24"/>
                <w:szCs w:val="24"/>
              </w:rPr>
            </w:pPr>
            <w:r w:rsidRPr="002E757C">
              <w:rPr>
                <w:rFonts w:ascii="Wingdings" w:eastAsia="Wingdings" w:hAnsi="Wingdings" w:cs="Wingdings"/>
                <w:b/>
                <w:bCs/>
                <w:color w:val="4E9333" w:themeColor="accent3" w:themeShade="BF"/>
                <w:sz w:val="24"/>
                <w:szCs w:val="24"/>
              </w:rPr>
              <w:t>á</w:t>
            </w:r>
          </w:p>
          <w:p w14:paraId="70D54E06" w14:textId="30F68BED" w:rsidR="007C73F6" w:rsidRPr="002E757C" w:rsidRDefault="007C73F6" w:rsidP="39065E54">
            <w:pPr>
              <w:pStyle w:val="BodyText"/>
              <w:widowControl w:val="0"/>
              <w:cnfStyle w:val="000000100000" w:firstRow="0" w:lastRow="0" w:firstColumn="0" w:lastColumn="0" w:oddVBand="0" w:evenVBand="0" w:oddHBand="1" w:evenHBand="0" w:firstRowFirstColumn="0" w:firstRowLastColumn="0" w:lastRowFirstColumn="0" w:lastRowLastColumn="0"/>
              <w:rPr>
                <w:sz w:val="24"/>
                <w:szCs w:val="24"/>
              </w:rPr>
            </w:pPr>
          </w:p>
        </w:tc>
        <w:tc>
          <w:tcPr>
            <w:tcW w:w="1349" w:type="dxa"/>
          </w:tcPr>
          <w:p w14:paraId="421F3065" w14:textId="07F08C94" w:rsidR="007C73F6" w:rsidRPr="007C73F6" w:rsidRDefault="007C73F6" w:rsidP="39065E54">
            <w:pPr>
              <w:pStyle w:val="BodyText"/>
              <w:widowControl w:val="0"/>
              <w:spacing w:before="60" w:after="60" w:line="252" w:lineRule="auto"/>
              <w:ind w:left="72" w:right="72"/>
              <w:cnfStyle w:val="000000100000" w:firstRow="0" w:lastRow="0" w:firstColumn="0" w:lastColumn="0" w:oddVBand="0" w:evenVBand="0" w:oddHBand="1" w:evenHBand="0" w:firstRowFirstColumn="0" w:firstRowLastColumn="0" w:lastRowFirstColumn="0" w:lastRowLastColumn="0"/>
              <w:rPr>
                <w:rFonts w:ascii="Verdana" w:eastAsia="Verdana" w:hAnsi="Verdana" w:cs="Times New Roman"/>
              </w:rPr>
            </w:pPr>
            <w:r w:rsidRPr="39065E54">
              <w:rPr>
                <w:rFonts w:ascii="Verdana" w:eastAsia="Verdana" w:hAnsi="Verdana" w:cs="Times New Roman"/>
              </w:rPr>
              <w:t>Medium</w:t>
            </w:r>
            <w:r w:rsidR="03F7B91E" w:rsidRPr="39065E54">
              <w:rPr>
                <w:rFonts w:ascii="Verdana" w:eastAsia="Verdana" w:hAnsi="Verdana" w:cs="Times New Roman"/>
                <w:vertAlign w:val="superscript"/>
              </w:rPr>
              <w:t>3</w:t>
            </w:r>
          </w:p>
        </w:tc>
      </w:tr>
      <w:tr w:rsidR="00EF15AF" w:rsidRPr="007C73F6" w14:paraId="39FAE538" w14:textId="77777777" w:rsidTr="00EF15AF">
        <w:trPr>
          <w:cnfStyle w:val="000000010000" w:firstRow="0" w:lastRow="0" w:firstColumn="0" w:lastColumn="0" w:oddVBand="0" w:evenVBand="0" w:oddHBand="0" w:evenHBand="1" w:firstRowFirstColumn="0" w:firstRowLastColumn="0" w:lastRowFirstColumn="0" w:lastRowLastColumn="0"/>
          <w:trHeight w:val="632"/>
        </w:trPr>
        <w:tc>
          <w:tcPr>
            <w:cnfStyle w:val="001000000000" w:firstRow="0" w:lastRow="0" w:firstColumn="1" w:lastColumn="0" w:oddVBand="0" w:evenVBand="0" w:oddHBand="0" w:evenHBand="0" w:firstRowFirstColumn="0" w:firstRowLastColumn="0" w:lastRowFirstColumn="0" w:lastRowLastColumn="0"/>
            <w:tcW w:w="1078" w:type="dxa"/>
          </w:tcPr>
          <w:p w14:paraId="5B0E012F" w14:textId="77777777" w:rsidR="007C73F6" w:rsidRPr="005156C4" w:rsidRDefault="007C73F6" w:rsidP="007C73F6">
            <w:pPr>
              <w:widowControl w:val="0"/>
              <w:spacing w:before="60" w:after="60" w:line="252" w:lineRule="auto"/>
              <w:ind w:left="72" w:right="72"/>
              <w:rPr>
                <w:rFonts w:ascii="Verdana" w:eastAsia="Verdana" w:hAnsi="Verdana" w:cs="Times New Roman"/>
              </w:rPr>
            </w:pPr>
            <w:r w:rsidRPr="005156C4">
              <w:rPr>
                <w:rFonts w:ascii="Verdana" w:eastAsia="Verdana" w:hAnsi="Verdana" w:cs="Times New Roman"/>
              </w:rPr>
              <w:t>TIPPS</w:t>
            </w:r>
          </w:p>
        </w:tc>
        <w:tc>
          <w:tcPr>
            <w:tcW w:w="3238" w:type="dxa"/>
          </w:tcPr>
          <w:p w14:paraId="435042F6" w14:textId="6ACF6D2E" w:rsidR="007C73F6" w:rsidRPr="005156C4" w:rsidRDefault="6053282F" w:rsidP="39065E54">
            <w:pPr>
              <w:widowControl w:val="0"/>
              <w:spacing w:before="60" w:after="60" w:line="252" w:lineRule="auto"/>
              <w:ind w:left="72" w:right="72"/>
              <w:cnfStyle w:val="000000010000" w:firstRow="0" w:lastRow="0" w:firstColumn="0" w:lastColumn="0" w:oddVBand="0" w:evenVBand="0" w:oddHBand="0" w:evenHBand="1" w:firstRowFirstColumn="0" w:firstRowLastColumn="0" w:lastRowFirstColumn="0" w:lastRowLastColumn="0"/>
            </w:pPr>
            <w:r w:rsidRPr="39065E54">
              <w:rPr>
                <w:rFonts w:ascii="Verdana" w:eastAsia="Verdana" w:hAnsi="Verdana" w:cs="Times New Roman"/>
                <w:color w:val="000000" w:themeColor="text2"/>
              </w:rPr>
              <w:t>Food Insecurity Screening</w:t>
            </w:r>
            <w:r w:rsidR="1F5F7738" w:rsidRPr="39065E54">
              <w:rPr>
                <w:rFonts w:ascii="Verdana" w:eastAsia="Verdana" w:hAnsi="Verdana" w:cs="Times New Roman"/>
                <w:color w:val="000000" w:themeColor="text2"/>
                <w:vertAlign w:val="superscript"/>
              </w:rPr>
              <w:t>4</w:t>
            </w:r>
          </w:p>
        </w:tc>
        <w:tc>
          <w:tcPr>
            <w:tcW w:w="2524" w:type="dxa"/>
          </w:tcPr>
          <w:p w14:paraId="7925BDDE" w14:textId="08F1D439" w:rsidR="007C73F6" w:rsidRPr="005156C4" w:rsidRDefault="007C73F6" w:rsidP="007C73F6">
            <w:pPr>
              <w:widowControl w:val="0"/>
              <w:spacing w:before="60" w:after="60" w:line="252" w:lineRule="auto"/>
              <w:ind w:left="72" w:right="72"/>
              <w:cnfStyle w:val="000000010000" w:firstRow="0" w:lastRow="0" w:firstColumn="0" w:lastColumn="0" w:oddVBand="0" w:evenVBand="0" w:oddHBand="0" w:evenHBand="1" w:firstRowFirstColumn="0" w:firstRowLastColumn="0" w:lastRowFirstColumn="0" w:lastRowLastColumn="0"/>
              <w:rPr>
                <w:rFonts w:ascii="Verdana" w:eastAsia="Verdana" w:hAnsi="Verdana" w:cs="Times New Roman"/>
              </w:rPr>
            </w:pPr>
            <w:r w:rsidRPr="005156C4">
              <w:rPr>
                <w:rFonts w:ascii="Verdana" w:eastAsia="Verdana" w:hAnsi="Verdana" w:cs="Times New Roman"/>
                <w:color w:val="000000"/>
              </w:rPr>
              <w:t xml:space="preserve">PCMH Status </w:t>
            </w:r>
          </w:p>
        </w:tc>
        <w:tc>
          <w:tcPr>
            <w:tcW w:w="1253" w:type="dxa"/>
          </w:tcPr>
          <w:p w14:paraId="37F1DA12" w14:textId="630C4BD6" w:rsidR="007C73F6" w:rsidRPr="005156C4" w:rsidRDefault="007C73F6" w:rsidP="007C73F6">
            <w:pPr>
              <w:widowControl w:val="0"/>
              <w:spacing w:before="60" w:after="60" w:line="252" w:lineRule="auto"/>
              <w:ind w:left="72" w:right="72"/>
              <w:jc w:val="center"/>
              <w:cnfStyle w:val="000000010000" w:firstRow="0" w:lastRow="0" w:firstColumn="0" w:lastColumn="0" w:oddVBand="0" w:evenVBand="0" w:oddHBand="0" w:evenHBand="1" w:firstRowFirstColumn="0" w:firstRowLastColumn="0" w:lastRowFirstColumn="0" w:lastRowLastColumn="0"/>
              <w:rPr>
                <w:rFonts w:ascii="Verdana" w:eastAsia="Verdana" w:hAnsi="Verdana" w:cs="Times New Roman"/>
              </w:rPr>
            </w:pPr>
            <w:r w:rsidRPr="39065E54">
              <w:rPr>
                <w:rFonts w:ascii="Verdana" w:eastAsia="Verdana" w:hAnsi="Verdana" w:cs="Times New Roman"/>
              </w:rPr>
              <w:t>2</w:t>
            </w:r>
            <w:r w:rsidR="7AF00B2D" w:rsidRPr="39065E54">
              <w:rPr>
                <w:rFonts w:ascii="Verdana" w:eastAsia="Verdana" w:hAnsi="Verdana" w:cs="Times New Roman"/>
              </w:rPr>
              <w:t>2</w:t>
            </w:r>
          </w:p>
        </w:tc>
        <w:tc>
          <w:tcPr>
            <w:tcW w:w="1178" w:type="dxa"/>
          </w:tcPr>
          <w:p w14:paraId="5447B815" w14:textId="77777777" w:rsidR="007C73F6" w:rsidRPr="002E757C" w:rsidRDefault="007C73F6" w:rsidP="007C73F6">
            <w:pPr>
              <w:widowControl w:val="0"/>
              <w:spacing w:before="60" w:after="60" w:line="252" w:lineRule="auto"/>
              <w:ind w:left="72" w:right="72"/>
              <w:jc w:val="center"/>
              <w:cnfStyle w:val="000000010000" w:firstRow="0" w:lastRow="0" w:firstColumn="0" w:lastColumn="0" w:oddVBand="0" w:evenVBand="0" w:oddHBand="0" w:evenHBand="1" w:firstRowFirstColumn="0" w:firstRowLastColumn="0" w:lastRowFirstColumn="0" w:lastRowLastColumn="0"/>
              <w:rPr>
                <w:rFonts w:ascii="Verdana" w:eastAsia="Verdana" w:hAnsi="Verdana" w:cs="Times New Roman"/>
                <w:b/>
                <w:bCs/>
                <w:sz w:val="24"/>
                <w:szCs w:val="24"/>
              </w:rPr>
            </w:pPr>
            <w:r w:rsidRPr="002E757C">
              <w:rPr>
                <w:rFonts w:ascii="Wingdings" w:eastAsia="Wingdings" w:hAnsi="Wingdings" w:cs="Wingdings"/>
                <w:b/>
                <w:bCs/>
                <w:color w:val="4E9333"/>
                <w:sz w:val="24"/>
                <w:szCs w:val="24"/>
              </w:rPr>
              <w:t>á</w:t>
            </w:r>
          </w:p>
        </w:tc>
        <w:tc>
          <w:tcPr>
            <w:tcW w:w="1349" w:type="dxa"/>
          </w:tcPr>
          <w:p w14:paraId="5E6DEBC6" w14:textId="14CFA240" w:rsidR="007C73F6" w:rsidRPr="005156C4" w:rsidRDefault="2620AAB0" w:rsidP="39065E54">
            <w:pPr>
              <w:pStyle w:val="BodyText"/>
              <w:widowControl w:val="0"/>
              <w:spacing w:before="60" w:after="60" w:line="252" w:lineRule="auto"/>
              <w:ind w:left="72" w:right="72"/>
              <w:cnfStyle w:val="000000010000" w:firstRow="0" w:lastRow="0" w:firstColumn="0" w:lastColumn="0" w:oddVBand="0" w:evenVBand="0" w:oddHBand="0" w:evenHBand="1" w:firstRowFirstColumn="0" w:firstRowLastColumn="0" w:lastRowFirstColumn="0" w:lastRowLastColumn="0"/>
              <w:rPr>
                <w:rFonts w:ascii="Verdana" w:eastAsia="Verdana" w:hAnsi="Verdana" w:cs="Times New Roman"/>
              </w:rPr>
            </w:pPr>
            <w:r w:rsidRPr="39065E54">
              <w:rPr>
                <w:rFonts w:ascii="Verdana" w:eastAsia="Verdana" w:hAnsi="Verdana" w:cs="Times New Roman"/>
              </w:rPr>
              <w:t>Medium</w:t>
            </w:r>
            <w:r w:rsidR="328BFF61" w:rsidRPr="39065E54">
              <w:rPr>
                <w:rFonts w:ascii="Verdana" w:eastAsia="Verdana" w:hAnsi="Verdana" w:cs="Times New Roman"/>
                <w:vertAlign w:val="superscript"/>
              </w:rPr>
              <w:t>3</w:t>
            </w:r>
          </w:p>
        </w:tc>
      </w:tr>
      <w:tr w:rsidR="39065E54" w14:paraId="5B85342A" w14:textId="77777777" w:rsidTr="003B09DD">
        <w:trPr>
          <w:cnfStyle w:val="000000100000" w:firstRow="0" w:lastRow="0" w:firstColumn="0" w:lastColumn="0" w:oddVBand="0" w:evenVBand="0" w:oddHBand="1" w:evenHBand="0" w:firstRowFirstColumn="0" w:firstRowLastColumn="0" w:lastRowFirstColumn="0" w:lastRowLastColumn="0"/>
          <w:trHeight w:val="632"/>
        </w:trPr>
        <w:tc>
          <w:tcPr>
            <w:cnfStyle w:val="001000000000" w:firstRow="0" w:lastRow="0" w:firstColumn="1" w:lastColumn="0" w:oddVBand="0" w:evenVBand="0" w:oddHBand="0" w:evenHBand="0" w:firstRowFirstColumn="0" w:firstRowLastColumn="0" w:lastRowFirstColumn="0" w:lastRowLastColumn="0"/>
            <w:tcW w:w="1078" w:type="dxa"/>
          </w:tcPr>
          <w:p w14:paraId="36AF7075" w14:textId="4AA0F083" w:rsidR="3D73673A" w:rsidRDefault="3D73673A" w:rsidP="39065E54">
            <w:pPr>
              <w:spacing w:before="60" w:after="60" w:line="252" w:lineRule="auto"/>
              <w:ind w:left="72" w:right="72"/>
              <w:rPr>
                <w:rFonts w:ascii="Verdana" w:eastAsia="Verdana" w:hAnsi="Verdana" w:cs="Times New Roman"/>
              </w:rPr>
            </w:pPr>
            <w:r w:rsidRPr="39065E54">
              <w:rPr>
                <w:rFonts w:ascii="Verdana" w:eastAsia="Verdana" w:hAnsi="Verdana" w:cs="Times New Roman"/>
              </w:rPr>
              <w:t>TIPPS</w:t>
            </w:r>
          </w:p>
        </w:tc>
        <w:tc>
          <w:tcPr>
            <w:tcW w:w="3238" w:type="dxa"/>
          </w:tcPr>
          <w:p w14:paraId="5D03FCAA" w14:textId="05E786BE" w:rsidR="4BDF00E6" w:rsidRDefault="4BDF00E6" w:rsidP="39065E54">
            <w:pPr>
              <w:spacing w:before="60" w:after="60" w:line="252" w:lineRule="auto"/>
              <w:ind w:left="72" w:right="72"/>
              <w:cnfStyle w:val="000000100000" w:firstRow="0" w:lastRow="0" w:firstColumn="0" w:lastColumn="0" w:oddVBand="0" w:evenVBand="0" w:oddHBand="1" w:evenHBand="0" w:firstRowFirstColumn="0" w:firstRowLastColumn="0" w:lastRowFirstColumn="0" w:lastRowLastColumn="0"/>
              <w:rPr>
                <w:rFonts w:ascii="Verdana" w:eastAsia="Verdana" w:hAnsi="Verdana" w:cs="Times New Roman"/>
                <w:color w:val="000000" w:themeColor="text2"/>
              </w:rPr>
            </w:pPr>
            <w:r w:rsidRPr="39065E54">
              <w:rPr>
                <w:rFonts w:ascii="Verdana" w:eastAsia="Verdana" w:hAnsi="Verdana" w:cs="Times New Roman"/>
                <w:color w:val="000000" w:themeColor="text2"/>
              </w:rPr>
              <w:t>Depression Response at Twelve Months</w:t>
            </w:r>
            <w:r w:rsidR="1C0F5277" w:rsidRPr="39065E54">
              <w:rPr>
                <w:rFonts w:ascii="Verdana" w:eastAsia="Verdana" w:hAnsi="Verdana" w:cs="Times New Roman"/>
                <w:color w:val="000000" w:themeColor="text2"/>
                <w:vertAlign w:val="superscript"/>
              </w:rPr>
              <w:t>4</w:t>
            </w:r>
          </w:p>
        </w:tc>
        <w:tc>
          <w:tcPr>
            <w:tcW w:w="2524" w:type="dxa"/>
          </w:tcPr>
          <w:p w14:paraId="1552B699" w14:textId="5A707876" w:rsidR="4BDF00E6" w:rsidRDefault="4BDF00E6" w:rsidP="39065E54">
            <w:pPr>
              <w:spacing w:before="60" w:after="60" w:line="252" w:lineRule="auto"/>
              <w:ind w:left="72" w:right="72"/>
              <w:cnfStyle w:val="000000100000" w:firstRow="0" w:lastRow="0" w:firstColumn="0" w:lastColumn="0" w:oddVBand="0" w:evenVBand="0" w:oddHBand="1" w:evenHBand="0" w:firstRowFirstColumn="0" w:firstRowLastColumn="0" w:lastRowFirstColumn="0" w:lastRowLastColumn="0"/>
              <w:rPr>
                <w:rFonts w:ascii="Verdana" w:eastAsia="Verdana" w:hAnsi="Verdana" w:cs="Times New Roman"/>
                <w:color w:val="000000" w:themeColor="text2"/>
              </w:rPr>
            </w:pPr>
            <w:r w:rsidRPr="39065E54">
              <w:rPr>
                <w:rFonts w:ascii="Verdana" w:eastAsia="Verdana" w:hAnsi="Verdana" w:cs="Times New Roman"/>
                <w:color w:val="000000" w:themeColor="text2"/>
              </w:rPr>
              <w:t>PCMH Status</w:t>
            </w:r>
          </w:p>
        </w:tc>
        <w:tc>
          <w:tcPr>
            <w:tcW w:w="1253" w:type="dxa"/>
          </w:tcPr>
          <w:p w14:paraId="345E5A77" w14:textId="3F7CF875" w:rsidR="10C28530" w:rsidRDefault="10C28530" w:rsidP="39065E54">
            <w:pPr>
              <w:spacing w:line="252" w:lineRule="auto"/>
              <w:jc w:val="center"/>
              <w:cnfStyle w:val="000000100000" w:firstRow="0" w:lastRow="0" w:firstColumn="0" w:lastColumn="0" w:oddVBand="0" w:evenVBand="0" w:oddHBand="1" w:evenHBand="0" w:firstRowFirstColumn="0" w:firstRowLastColumn="0" w:lastRowFirstColumn="0" w:lastRowLastColumn="0"/>
              <w:rPr>
                <w:rFonts w:ascii="Verdana" w:eastAsia="Verdana" w:hAnsi="Verdana" w:cs="Times New Roman"/>
              </w:rPr>
            </w:pPr>
            <w:r w:rsidRPr="39065E54">
              <w:rPr>
                <w:rFonts w:ascii="Verdana" w:eastAsia="Verdana" w:hAnsi="Verdana" w:cs="Times New Roman"/>
              </w:rPr>
              <w:t>21</w:t>
            </w:r>
          </w:p>
        </w:tc>
        <w:tc>
          <w:tcPr>
            <w:tcW w:w="1178" w:type="dxa"/>
          </w:tcPr>
          <w:p w14:paraId="78A8FC85" w14:textId="453CF6FC" w:rsidR="34614130" w:rsidRPr="002E757C" w:rsidRDefault="34614130" w:rsidP="39065E54">
            <w:pPr>
              <w:widowControl w:val="0"/>
              <w:spacing w:before="60" w:after="60" w:line="252" w:lineRule="auto"/>
              <w:ind w:left="72" w:right="72"/>
              <w:jc w:val="center"/>
              <w:cnfStyle w:val="000000100000" w:firstRow="0" w:lastRow="0" w:firstColumn="0" w:lastColumn="0" w:oddVBand="0" w:evenVBand="0" w:oddHBand="1" w:evenHBand="0" w:firstRowFirstColumn="0" w:firstRowLastColumn="0" w:lastRowFirstColumn="0" w:lastRowLastColumn="0"/>
              <w:rPr>
                <w:rFonts w:ascii="Verdana" w:eastAsia="Verdana" w:hAnsi="Verdana" w:cs="Times New Roman"/>
                <w:b/>
                <w:bCs/>
                <w:sz w:val="24"/>
                <w:szCs w:val="24"/>
              </w:rPr>
            </w:pPr>
            <w:r w:rsidRPr="002E757C">
              <w:rPr>
                <w:rFonts w:ascii="Wingdings" w:eastAsia="Wingdings" w:hAnsi="Wingdings" w:cs="Wingdings"/>
                <w:b/>
                <w:bCs/>
                <w:color w:val="4E9333" w:themeColor="accent3" w:themeShade="BF"/>
                <w:sz w:val="24"/>
                <w:szCs w:val="24"/>
              </w:rPr>
              <w:t>á</w:t>
            </w:r>
          </w:p>
        </w:tc>
        <w:tc>
          <w:tcPr>
            <w:tcW w:w="1349" w:type="dxa"/>
          </w:tcPr>
          <w:p w14:paraId="058904DA" w14:textId="1F0E832C" w:rsidR="10C28530" w:rsidRDefault="10C28530" w:rsidP="39065E54">
            <w:pPr>
              <w:pStyle w:val="BodyText"/>
              <w:spacing w:before="60" w:after="60"/>
              <w:ind w:left="72" w:right="72"/>
              <w:cnfStyle w:val="000000100000" w:firstRow="0" w:lastRow="0" w:firstColumn="0" w:lastColumn="0" w:oddVBand="0" w:evenVBand="0" w:oddHBand="1" w:evenHBand="0" w:firstRowFirstColumn="0" w:firstRowLastColumn="0" w:lastRowFirstColumn="0" w:lastRowLastColumn="0"/>
              <w:rPr>
                <w:rFonts w:ascii="Verdana" w:eastAsia="Verdana" w:hAnsi="Verdana" w:cs="Times New Roman"/>
              </w:rPr>
            </w:pPr>
            <w:r w:rsidRPr="39065E54">
              <w:rPr>
                <w:rFonts w:ascii="Verdana" w:eastAsia="Verdana" w:hAnsi="Verdana" w:cs="Times New Roman"/>
              </w:rPr>
              <w:t>Large</w:t>
            </w:r>
            <w:r w:rsidR="391CB7CD" w:rsidRPr="39065E54">
              <w:rPr>
                <w:rFonts w:ascii="Verdana" w:eastAsia="Verdana" w:hAnsi="Verdana" w:cs="Times New Roman"/>
                <w:vertAlign w:val="superscript"/>
              </w:rPr>
              <w:t>3</w:t>
            </w:r>
          </w:p>
        </w:tc>
      </w:tr>
    </w:tbl>
    <w:p w14:paraId="1734D4AC" w14:textId="64A915F2" w:rsidR="005C7B1F" w:rsidRPr="003B4B6C" w:rsidRDefault="331E1281" w:rsidP="003B4B6C">
      <w:pPr>
        <w:spacing w:before="120" w:line="240" w:lineRule="auto"/>
        <w:ind w:left="-630"/>
        <w:rPr>
          <w:sz w:val="20"/>
        </w:rPr>
      </w:pPr>
      <w:r w:rsidRPr="003B4B6C">
        <w:rPr>
          <w:rFonts w:ascii="Verdana" w:eastAsia="Verdana" w:hAnsi="Verdana" w:cs="Times New Roman"/>
          <w:i/>
          <w:iCs/>
          <w:sz w:val="20"/>
        </w:rPr>
        <w:t>Notes</w:t>
      </w:r>
      <w:r w:rsidRPr="003B4B6C">
        <w:rPr>
          <w:sz w:val="20"/>
        </w:rPr>
        <w:t xml:space="preserve">. </w:t>
      </w:r>
      <w:r w:rsidRPr="003B4B6C">
        <w:rPr>
          <w:sz w:val="20"/>
          <w:vertAlign w:val="superscript"/>
        </w:rPr>
        <w:t>1</w:t>
      </w:r>
      <w:r w:rsidRPr="003B4B6C">
        <w:rPr>
          <w:sz w:val="20"/>
        </w:rPr>
        <w:t xml:space="preserve"> Effect sizes were calculated using Hedge’s g, where g &lt; 0.5 indicated a small effect, g ≥ 0.5 and &lt; 0.8 indicated a medium effect, and g ≥ 0.8 indicated a large effect. </w:t>
      </w:r>
      <w:r w:rsidRPr="003B4B6C">
        <w:rPr>
          <w:sz w:val="20"/>
          <w:vertAlign w:val="superscript"/>
        </w:rPr>
        <w:t>2</w:t>
      </w:r>
      <w:r w:rsidRPr="003B4B6C">
        <w:rPr>
          <w:sz w:val="20"/>
        </w:rPr>
        <w:t xml:space="preserve"> County type was excluded from RAPPS </w:t>
      </w:r>
      <w:proofErr w:type="spellStart"/>
      <w:r w:rsidRPr="003B4B6C">
        <w:rPr>
          <w:sz w:val="20"/>
        </w:rPr>
        <w:t>tobit</w:t>
      </w:r>
      <w:proofErr w:type="spellEnd"/>
      <w:r w:rsidRPr="003B4B6C">
        <w:rPr>
          <w:sz w:val="20"/>
        </w:rPr>
        <w:t xml:space="preserve"> regression models because all providers </w:t>
      </w:r>
      <w:proofErr w:type="gramStart"/>
      <w:r w:rsidRPr="003B4B6C">
        <w:rPr>
          <w:sz w:val="20"/>
        </w:rPr>
        <w:t>are located in</w:t>
      </w:r>
      <w:proofErr w:type="gramEnd"/>
      <w:r w:rsidRPr="003B4B6C">
        <w:rPr>
          <w:sz w:val="20"/>
        </w:rPr>
        <w:t xml:space="preserve"> rural counties. </w:t>
      </w:r>
      <w:r w:rsidRPr="003B4B6C">
        <w:rPr>
          <w:sz w:val="20"/>
          <w:vertAlign w:val="superscript"/>
        </w:rPr>
        <w:t>3</w:t>
      </w:r>
      <w:r w:rsidRPr="003B4B6C">
        <w:rPr>
          <w:sz w:val="20"/>
        </w:rPr>
        <w:t xml:space="preserve"> Effect sizes may be unstable due to small sample sizes. </w:t>
      </w:r>
      <w:r w:rsidRPr="003B4B6C">
        <w:rPr>
          <w:sz w:val="20"/>
          <w:vertAlign w:val="superscript"/>
        </w:rPr>
        <w:t>4</w:t>
      </w:r>
      <w:r w:rsidRPr="003B4B6C">
        <w:rPr>
          <w:sz w:val="20"/>
        </w:rPr>
        <w:t xml:space="preserve"> County type was excluded from these TIPPS </w:t>
      </w:r>
      <w:proofErr w:type="spellStart"/>
      <w:r w:rsidRPr="003B4B6C">
        <w:rPr>
          <w:sz w:val="20"/>
        </w:rPr>
        <w:t>tobit</w:t>
      </w:r>
      <w:proofErr w:type="spellEnd"/>
      <w:r w:rsidRPr="003B4B6C">
        <w:rPr>
          <w:sz w:val="20"/>
        </w:rPr>
        <w:t xml:space="preserve"> regression models due to low variance.</w:t>
      </w:r>
    </w:p>
    <w:p w14:paraId="02E2F687" w14:textId="5AD31EB1" w:rsidR="005C7B1F" w:rsidRPr="003B4B6C" w:rsidRDefault="331E1281" w:rsidP="003B4B6C">
      <w:pPr>
        <w:spacing w:before="120"/>
        <w:ind w:left="-630"/>
        <w:rPr>
          <w:sz w:val="20"/>
        </w:rPr>
      </w:pPr>
      <w:r w:rsidRPr="003B4B6C">
        <w:rPr>
          <w:sz w:val="20"/>
        </w:rPr>
        <w:t xml:space="preserve">Table </w:t>
      </w:r>
      <w:r w:rsidR="00325C79">
        <w:rPr>
          <w:sz w:val="20"/>
        </w:rPr>
        <w:t xml:space="preserve">2 </w:t>
      </w:r>
      <w:r w:rsidRPr="003B4B6C">
        <w:rPr>
          <w:sz w:val="20"/>
        </w:rPr>
        <w:t xml:space="preserve">shows only statistically significant findings from 29 </w:t>
      </w:r>
      <w:proofErr w:type="spellStart"/>
      <w:r w:rsidRPr="003B4B6C">
        <w:rPr>
          <w:sz w:val="20"/>
        </w:rPr>
        <w:t>tobit</w:t>
      </w:r>
      <w:proofErr w:type="spellEnd"/>
      <w:r w:rsidRPr="003B4B6C">
        <w:rPr>
          <w:sz w:val="20"/>
        </w:rPr>
        <w:t xml:space="preserve"> regressions models across the four DPPs. When feasible, models control for county type and Medicaid Managed Care volume. An upwards arrow indicates providers who implemented the structure measure had higher rates on the respective DPP performance measure, whereas a downwards arrow indicates providers who implemented the structure measure had lower rates on the respective DPP performance measure. Green indicates the effect was in the desired direction, whereas red indicates the effect was in the non-desired direction. </w:t>
      </w:r>
    </w:p>
    <w:p w14:paraId="706BAF3B" w14:textId="1F29A7A8" w:rsidR="005C7B1F" w:rsidRPr="003B4B6C" w:rsidRDefault="007C73F6" w:rsidP="003B4B6C">
      <w:pPr>
        <w:spacing w:before="120"/>
        <w:ind w:left="-630"/>
        <w:rPr>
          <w:rFonts w:ascii="Verdana" w:eastAsia="Verdana" w:hAnsi="Verdana" w:cs="Times New Roman"/>
          <w:sz w:val="20"/>
        </w:rPr>
      </w:pPr>
      <w:r w:rsidRPr="003B4B6C">
        <w:rPr>
          <w:rFonts w:ascii="Verdana" w:eastAsia="Verdana" w:hAnsi="Verdana" w:cs="Times New Roman"/>
          <w:sz w:val="20"/>
        </w:rPr>
        <w:t xml:space="preserve">Source. Year </w:t>
      </w:r>
      <w:r w:rsidR="00B37721">
        <w:rPr>
          <w:rFonts w:ascii="Verdana" w:eastAsia="Verdana" w:hAnsi="Verdana" w:cs="Times New Roman"/>
          <w:sz w:val="20"/>
        </w:rPr>
        <w:t xml:space="preserve">2 </w:t>
      </w:r>
      <w:r w:rsidRPr="003B4B6C">
        <w:rPr>
          <w:rFonts w:ascii="Verdana" w:eastAsia="Verdana" w:hAnsi="Verdana" w:cs="Times New Roman"/>
          <w:sz w:val="20"/>
        </w:rPr>
        <w:t xml:space="preserve">Data </w:t>
      </w:r>
      <w:proofErr w:type="gramStart"/>
      <w:r w:rsidRPr="003B4B6C">
        <w:rPr>
          <w:rFonts w:ascii="Verdana" w:eastAsia="Verdana" w:hAnsi="Verdana" w:cs="Times New Roman"/>
          <w:sz w:val="20"/>
        </w:rPr>
        <w:t>Master</w:t>
      </w:r>
      <w:r w:rsidR="26664F31" w:rsidRPr="003B4B6C">
        <w:rPr>
          <w:rFonts w:ascii="Verdana" w:eastAsia="Verdana" w:hAnsi="Verdana" w:cs="Times New Roman"/>
          <w:sz w:val="20"/>
        </w:rPr>
        <w:t>s</w:t>
      </w:r>
      <w:proofErr w:type="gramEnd"/>
      <w:r w:rsidRPr="003B4B6C">
        <w:rPr>
          <w:rFonts w:ascii="Verdana" w:eastAsia="Verdana" w:hAnsi="Verdana" w:cs="Times New Roman"/>
          <w:sz w:val="20"/>
        </w:rPr>
        <w:t xml:space="preserve"> for CHIRP, DPP BHS, TIPPS, and RAPPS; Delivery System Quality and Innovation Team, Medicaid and CHIP Services, HHSC. Prepared by the Office of Data, Analytics, and Performance, HHSC.</w:t>
      </w:r>
      <w:bookmarkStart w:id="83" w:name="_Toc119331292"/>
      <w:bookmarkStart w:id="84" w:name="_Toc102463491"/>
      <w:bookmarkStart w:id="85" w:name="_Toc102463593"/>
      <w:bookmarkStart w:id="86" w:name="_Toc108015010"/>
      <w:bookmarkStart w:id="87" w:name="_Toc116480176"/>
      <w:bookmarkStart w:id="88" w:name="_Toc117582091"/>
      <w:bookmarkStart w:id="89" w:name="_Toc117850363"/>
      <w:bookmarkStart w:id="90" w:name="_Toc118189800"/>
      <w:bookmarkStart w:id="91" w:name="_Toc118297821"/>
      <w:bookmarkStart w:id="92" w:name="_Toc118297969"/>
      <w:bookmarkStart w:id="93" w:name="_Toc118793340"/>
      <w:bookmarkStart w:id="94" w:name="_Toc118793391"/>
      <w:bookmarkStart w:id="95" w:name="_Toc118793854"/>
      <w:bookmarkStart w:id="96" w:name="_Toc118808906"/>
      <w:bookmarkStart w:id="97" w:name="_Toc118809036"/>
      <w:bookmarkStart w:id="98" w:name="_Toc119331293"/>
      <w:bookmarkStart w:id="99" w:name="_Toc102463492"/>
      <w:bookmarkStart w:id="100" w:name="_Toc102463594"/>
      <w:bookmarkStart w:id="101" w:name="_Toc108015011"/>
      <w:bookmarkStart w:id="102" w:name="_Toc116480177"/>
      <w:bookmarkStart w:id="103" w:name="_Toc117582092"/>
      <w:bookmarkStart w:id="104" w:name="_Toc117850364"/>
      <w:bookmarkStart w:id="105" w:name="_Toc118189801"/>
      <w:bookmarkStart w:id="106" w:name="_Toc118297822"/>
      <w:bookmarkStart w:id="107" w:name="_Toc118297970"/>
      <w:bookmarkStart w:id="108" w:name="_Toc118793341"/>
      <w:bookmarkStart w:id="109" w:name="_Toc118793392"/>
      <w:bookmarkStart w:id="110" w:name="_Toc118793855"/>
      <w:bookmarkStart w:id="111" w:name="_Toc118808907"/>
      <w:bookmarkStart w:id="112" w:name="_Toc118809037"/>
      <w:bookmarkStart w:id="113" w:name="_Toc119331294"/>
      <w:bookmarkStart w:id="114" w:name="_Toc102463493"/>
      <w:bookmarkStart w:id="115" w:name="_Toc102463595"/>
      <w:bookmarkStart w:id="116" w:name="_Toc108015012"/>
      <w:bookmarkStart w:id="117" w:name="_Toc116480178"/>
      <w:bookmarkStart w:id="118" w:name="_Toc117582093"/>
      <w:bookmarkStart w:id="119" w:name="_Toc117850365"/>
      <w:bookmarkStart w:id="120" w:name="_Toc118189802"/>
      <w:bookmarkStart w:id="121" w:name="_Toc118297823"/>
      <w:bookmarkStart w:id="122" w:name="_Toc118297971"/>
      <w:bookmarkStart w:id="123" w:name="_Toc118793342"/>
      <w:bookmarkStart w:id="124" w:name="_Toc118793393"/>
      <w:bookmarkStart w:id="125" w:name="_Toc118793856"/>
      <w:bookmarkStart w:id="126" w:name="_Toc118808908"/>
      <w:bookmarkStart w:id="127" w:name="_Toc118809038"/>
      <w:bookmarkStart w:id="128" w:name="_Toc119331295"/>
      <w:bookmarkStart w:id="129" w:name="_Toc102463494"/>
      <w:bookmarkStart w:id="130" w:name="_Toc102463596"/>
      <w:bookmarkStart w:id="131" w:name="_Toc108015013"/>
      <w:bookmarkStart w:id="132" w:name="_Toc116480179"/>
      <w:bookmarkStart w:id="133" w:name="_Toc117582094"/>
      <w:bookmarkStart w:id="134" w:name="_Toc117850366"/>
      <w:bookmarkStart w:id="135" w:name="_Toc118189803"/>
      <w:bookmarkStart w:id="136" w:name="_Toc118297824"/>
      <w:bookmarkStart w:id="137" w:name="_Toc118297972"/>
      <w:bookmarkStart w:id="138" w:name="_Toc118793343"/>
      <w:bookmarkStart w:id="139" w:name="_Toc118793394"/>
      <w:bookmarkStart w:id="140" w:name="_Toc118793857"/>
      <w:bookmarkStart w:id="141" w:name="_Toc118808909"/>
      <w:bookmarkStart w:id="142" w:name="_Toc118809039"/>
      <w:bookmarkStart w:id="143" w:name="_Toc119331296"/>
      <w:bookmarkStart w:id="144" w:name="_Toc102463495"/>
      <w:bookmarkStart w:id="145" w:name="_Toc102463597"/>
      <w:bookmarkStart w:id="146" w:name="_Toc108015014"/>
      <w:bookmarkStart w:id="147" w:name="_Toc116480180"/>
      <w:bookmarkStart w:id="148" w:name="_Toc117582095"/>
      <w:bookmarkStart w:id="149" w:name="_Toc117850367"/>
      <w:bookmarkStart w:id="150" w:name="_Toc118189804"/>
      <w:bookmarkStart w:id="151" w:name="_Toc118297825"/>
      <w:bookmarkStart w:id="152" w:name="_Toc118297973"/>
      <w:bookmarkStart w:id="153" w:name="_Toc118793344"/>
      <w:bookmarkStart w:id="154" w:name="_Toc118793395"/>
      <w:bookmarkStart w:id="155" w:name="_Toc118793858"/>
      <w:bookmarkStart w:id="156" w:name="_Toc118808910"/>
      <w:bookmarkStart w:id="157" w:name="_Toc118809040"/>
      <w:bookmarkStart w:id="158" w:name="_Toc119331297"/>
      <w:bookmarkStart w:id="159" w:name="_Toc102463496"/>
      <w:bookmarkStart w:id="160" w:name="_Toc102463598"/>
      <w:bookmarkStart w:id="161" w:name="_Toc108015015"/>
      <w:bookmarkStart w:id="162" w:name="_Toc116480181"/>
      <w:bookmarkStart w:id="163" w:name="_Toc117582096"/>
      <w:bookmarkStart w:id="164" w:name="_Toc117850368"/>
      <w:bookmarkStart w:id="165" w:name="_Toc118189805"/>
      <w:bookmarkStart w:id="166" w:name="_Toc118297826"/>
      <w:bookmarkStart w:id="167" w:name="_Toc118297974"/>
      <w:bookmarkStart w:id="168" w:name="_Toc118793345"/>
      <w:bookmarkStart w:id="169" w:name="_Toc118793396"/>
      <w:bookmarkStart w:id="170" w:name="_Toc118793859"/>
      <w:bookmarkStart w:id="171" w:name="_Toc118808911"/>
      <w:bookmarkStart w:id="172" w:name="_Toc118809041"/>
      <w:bookmarkStart w:id="173" w:name="_Toc119331298"/>
      <w:bookmarkStart w:id="174" w:name="_Toc102463497"/>
      <w:bookmarkStart w:id="175" w:name="_Toc102463599"/>
      <w:bookmarkStart w:id="176" w:name="_Toc108015016"/>
      <w:bookmarkStart w:id="177" w:name="_Toc116480182"/>
      <w:bookmarkStart w:id="178" w:name="_Toc117582097"/>
      <w:bookmarkStart w:id="179" w:name="_Toc117850369"/>
      <w:bookmarkStart w:id="180" w:name="_Toc118189806"/>
      <w:bookmarkStart w:id="181" w:name="_Toc118297827"/>
      <w:bookmarkStart w:id="182" w:name="_Toc118297975"/>
      <w:bookmarkStart w:id="183" w:name="_Toc118793346"/>
      <w:bookmarkStart w:id="184" w:name="_Toc118793397"/>
      <w:bookmarkStart w:id="185" w:name="_Toc118793860"/>
      <w:bookmarkStart w:id="186" w:name="_Toc118808912"/>
      <w:bookmarkStart w:id="187" w:name="_Toc118809042"/>
      <w:bookmarkStart w:id="188" w:name="_Toc119331299"/>
      <w:bookmarkStart w:id="189" w:name="_Toc102463498"/>
      <w:bookmarkStart w:id="190" w:name="_Toc102463600"/>
      <w:bookmarkStart w:id="191" w:name="_Toc108015017"/>
      <w:bookmarkStart w:id="192" w:name="_Toc116480183"/>
      <w:bookmarkStart w:id="193" w:name="_Toc117582098"/>
      <w:bookmarkStart w:id="194" w:name="_Toc117850370"/>
      <w:bookmarkStart w:id="195" w:name="_Toc118189807"/>
      <w:bookmarkStart w:id="196" w:name="_Toc118297828"/>
      <w:bookmarkStart w:id="197" w:name="_Toc118297976"/>
      <w:bookmarkStart w:id="198" w:name="_Toc118793347"/>
      <w:bookmarkStart w:id="199" w:name="_Toc118793398"/>
      <w:bookmarkStart w:id="200" w:name="_Toc118793861"/>
      <w:bookmarkStart w:id="201" w:name="_Toc118808913"/>
      <w:bookmarkStart w:id="202" w:name="_Toc118809043"/>
      <w:bookmarkStart w:id="203" w:name="_Toc119331300"/>
      <w:bookmarkStart w:id="204" w:name="_Toc102463499"/>
      <w:bookmarkStart w:id="205" w:name="_Toc102463601"/>
      <w:bookmarkStart w:id="206" w:name="_Toc108015018"/>
      <w:bookmarkStart w:id="207" w:name="_Toc116480184"/>
      <w:bookmarkStart w:id="208" w:name="_Toc117582099"/>
      <w:bookmarkStart w:id="209" w:name="_Toc117850371"/>
      <w:bookmarkStart w:id="210" w:name="_Toc118189808"/>
      <w:bookmarkStart w:id="211" w:name="_Toc118297829"/>
      <w:bookmarkStart w:id="212" w:name="_Toc118297977"/>
      <w:bookmarkStart w:id="213" w:name="_Toc118793348"/>
      <w:bookmarkStart w:id="214" w:name="_Toc118793399"/>
      <w:bookmarkStart w:id="215" w:name="_Toc118793862"/>
      <w:bookmarkStart w:id="216" w:name="_Toc118808914"/>
      <w:bookmarkStart w:id="217" w:name="_Toc118809044"/>
      <w:bookmarkStart w:id="218" w:name="_Toc119331301"/>
      <w:bookmarkStart w:id="219" w:name="_Toc101964452"/>
      <w:bookmarkStart w:id="220" w:name="_Toc102461340"/>
      <w:bookmarkStart w:id="221" w:name="_Toc102463500"/>
      <w:bookmarkStart w:id="222" w:name="_Toc102463602"/>
      <w:bookmarkStart w:id="223" w:name="_Toc108015019"/>
      <w:bookmarkStart w:id="224" w:name="_Toc116480185"/>
      <w:bookmarkStart w:id="225" w:name="_Toc117582100"/>
      <w:bookmarkStart w:id="226" w:name="_Toc117850372"/>
      <w:bookmarkStart w:id="227" w:name="_Toc118189809"/>
      <w:bookmarkStart w:id="228" w:name="_Toc118297830"/>
      <w:bookmarkStart w:id="229" w:name="_Toc118297978"/>
      <w:bookmarkStart w:id="230" w:name="_Toc118793349"/>
      <w:bookmarkStart w:id="231" w:name="_Toc118793400"/>
      <w:bookmarkStart w:id="232" w:name="_Toc118793863"/>
      <w:bookmarkStart w:id="233" w:name="_Toc118808915"/>
      <w:bookmarkStart w:id="234" w:name="_Toc118809045"/>
      <w:bookmarkStart w:id="235" w:name="_Toc119331302"/>
      <w:bookmarkStart w:id="236" w:name="_Toc101964453"/>
      <w:bookmarkStart w:id="237" w:name="_Toc102461341"/>
      <w:bookmarkStart w:id="238" w:name="_Toc102463501"/>
      <w:bookmarkStart w:id="239" w:name="_Toc102463603"/>
      <w:bookmarkStart w:id="240" w:name="_Toc108015020"/>
      <w:bookmarkStart w:id="241" w:name="_Toc116480186"/>
      <w:bookmarkStart w:id="242" w:name="_Toc117582101"/>
      <w:bookmarkStart w:id="243" w:name="_Toc117850373"/>
      <w:bookmarkStart w:id="244" w:name="_Toc118189810"/>
      <w:bookmarkStart w:id="245" w:name="_Toc118297831"/>
      <w:bookmarkStart w:id="246" w:name="_Toc118297979"/>
      <w:bookmarkStart w:id="247" w:name="_Toc118793350"/>
      <w:bookmarkStart w:id="248" w:name="_Toc118793401"/>
      <w:bookmarkStart w:id="249" w:name="_Toc118793864"/>
      <w:bookmarkStart w:id="250" w:name="_Toc118808916"/>
      <w:bookmarkStart w:id="251" w:name="_Toc118809046"/>
      <w:bookmarkStart w:id="252" w:name="_Toc119331303"/>
      <w:bookmarkStart w:id="253" w:name="_Toc101964454"/>
      <w:bookmarkStart w:id="254" w:name="_Toc102461342"/>
      <w:bookmarkStart w:id="255" w:name="_Toc102463502"/>
      <w:bookmarkStart w:id="256" w:name="_Toc102463604"/>
      <w:bookmarkStart w:id="257" w:name="_Toc108015021"/>
      <w:bookmarkStart w:id="258" w:name="_Toc116480187"/>
      <w:bookmarkStart w:id="259" w:name="_Toc117582102"/>
      <w:bookmarkStart w:id="260" w:name="_Toc117850374"/>
      <w:bookmarkStart w:id="261" w:name="_Toc118189811"/>
      <w:bookmarkStart w:id="262" w:name="_Toc118297832"/>
      <w:bookmarkStart w:id="263" w:name="_Toc118297980"/>
      <w:bookmarkStart w:id="264" w:name="_Toc118793351"/>
      <w:bookmarkStart w:id="265" w:name="_Toc118793402"/>
      <w:bookmarkStart w:id="266" w:name="_Toc118793865"/>
      <w:bookmarkStart w:id="267" w:name="_Toc118808917"/>
      <w:bookmarkStart w:id="268" w:name="_Toc118809047"/>
      <w:bookmarkStart w:id="269" w:name="_Toc119331304"/>
      <w:bookmarkStart w:id="270" w:name="_Toc101964455"/>
      <w:bookmarkStart w:id="271" w:name="_Toc102461343"/>
      <w:bookmarkStart w:id="272" w:name="_Toc102463503"/>
      <w:bookmarkStart w:id="273" w:name="_Toc102463605"/>
      <w:bookmarkStart w:id="274" w:name="_Toc108015022"/>
      <w:bookmarkStart w:id="275" w:name="_Toc116480188"/>
      <w:bookmarkStart w:id="276" w:name="_Toc117582103"/>
      <w:bookmarkStart w:id="277" w:name="_Toc117850375"/>
      <w:bookmarkStart w:id="278" w:name="_Toc118189812"/>
      <w:bookmarkStart w:id="279" w:name="_Toc118297833"/>
      <w:bookmarkStart w:id="280" w:name="_Toc118297981"/>
      <w:bookmarkStart w:id="281" w:name="_Toc118793352"/>
      <w:bookmarkStart w:id="282" w:name="_Toc118793403"/>
      <w:bookmarkStart w:id="283" w:name="_Toc118793866"/>
      <w:bookmarkStart w:id="284" w:name="_Toc118808918"/>
      <w:bookmarkStart w:id="285" w:name="_Toc118809048"/>
      <w:bookmarkStart w:id="286" w:name="_Toc119331305"/>
      <w:bookmarkStart w:id="287" w:name="_Toc101964456"/>
      <w:bookmarkStart w:id="288" w:name="_Toc102461344"/>
      <w:bookmarkStart w:id="289" w:name="_Toc102463504"/>
      <w:bookmarkStart w:id="290" w:name="_Toc102463606"/>
      <w:bookmarkStart w:id="291" w:name="_Toc108015023"/>
      <w:bookmarkStart w:id="292" w:name="_Toc116480189"/>
      <w:bookmarkStart w:id="293" w:name="_Toc117582104"/>
      <w:bookmarkStart w:id="294" w:name="_Toc117850376"/>
      <w:bookmarkStart w:id="295" w:name="_Toc118189813"/>
      <w:bookmarkStart w:id="296" w:name="_Toc118297834"/>
      <w:bookmarkStart w:id="297" w:name="_Toc118297982"/>
      <w:bookmarkStart w:id="298" w:name="_Toc118793353"/>
      <w:bookmarkStart w:id="299" w:name="_Toc118793404"/>
      <w:bookmarkStart w:id="300" w:name="_Toc118793867"/>
      <w:bookmarkStart w:id="301" w:name="_Toc118808919"/>
      <w:bookmarkStart w:id="302" w:name="_Toc118809049"/>
      <w:bookmarkStart w:id="303" w:name="_Toc119331306"/>
      <w:bookmarkStart w:id="304" w:name="_Toc101964457"/>
      <w:bookmarkStart w:id="305" w:name="_Toc102461345"/>
      <w:bookmarkStart w:id="306" w:name="_Toc102463505"/>
      <w:bookmarkStart w:id="307" w:name="_Toc102463607"/>
      <w:bookmarkStart w:id="308" w:name="_Toc108015024"/>
      <w:bookmarkStart w:id="309" w:name="_Toc116480190"/>
      <w:bookmarkStart w:id="310" w:name="_Toc117582105"/>
      <w:bookmarkStart w:id="311" w:name="_Toc117850377"/>
      <w:bookmarkStart w:id="312" w:name="_Toc118189814"/>
      <w:bookmarkStart w:id="313" w:name="_Toc118297835"/>
      <w:bookmarkStart w:id="314" w:name="_Toc118297983"/>
      <w:bookmarkStart w:id="315" w:name="_Toc118793354"/>
      <w:bookmarkStart w:id="316" w:name="_Toc118793405"/>
      <w:bookmarkStart w:id="317" w:name="_Toc118793868"/>
      <w:bookmarkStart w:id="318" w:name="_Toc118808920"/>
      <w:bookmarkStart w:id="319" w:name="_Toc118809050"/>
      <w:bookmarkStart w:id="320" w:name="_Toc119331307"/>
      <w:bookmarkStart w:id="321" w:name="_Toc101964458"/>
      <w:bookmarkStart w:id="322" w:name="_Toc102461346"/>
      <w:bookmarkStart w:id="323" w:name="_Toc102463506"/>
      <w:bookmarkStart w:id="324" w:name="_Toc102463608"/>
      <w:bookmarkStart w:id="325" w:name="_Toc108015025"/>
      <w:bookmarkStart w:id="326" w:name="_Toc116480191"/>
      <w:bookmarkStart w:id="327" w:name="_Toc117582106"/>
      <w:bookmarkStart w:id="328" w:name="_Toc117850378"/>
      <w:bookmarkStart w:id="329" w:name="_Toc118189815"/>
      <w:bookmarkStart w:id="330" w:name="_Toc118297836"/>
      <w:bookmarkStart w:id="331" w:name="_Toc118297984"/>
      <w:bookmarkStart w:id="332" w:name="_Toc118793355"/>
      <w:bookmarkStart w:id="333" w:name="_Toc118793406"/>
      <w:bookmarkStart w:id="334" w:name="_Toc118793869"/>
      <w:bookmarkStart w:id="335" w:name="_Toc118808921"/>
      <w:bookmarkStart w:id="336" w:name="_Toc118809051"/>
      <w:bookmarkStart w:id="337" w:name="_Toc119331308"/>
      <w:bookmarkStart w:id="338" w:name="_Toc101964459"/>
      <w:bookmarkStart w:id="339" w:name="_Toc102461347"/>
      <w:bookmarkStart w:id="340" w:name="_Toc102463507"/>
      <w:bookmarkStart w:id="341" w:name="_Toc102463609"/>
      <w:bookmarkStart w:id="342" w:name="_Toc108015026"/>
      <w:bookmarkStart w:id="343" w:name="_Toc116480192"/>
      <w:bookmarkStart w:id="344" w:name="_Toc117582107"/>
      <w:bookmarkStart w:id="345" w:name="_Toc117850379"/>
      <w:bookmarkStart w:id="346" w:name="_Toc118189816"/>
      <w:bookmarkStart w:id="347" w:name="_Toc118297837"/>
      <w:bookmarkStart w:id="348" w:name="_Toc118297985"/>
      <w:bookmarkStart w:id="349" w:name="_Toc118793356"/>
      <w:bookmarkStart w:id="350" w:name="_Toc118793407"/>
      <w:bookmarkStart w:id="351" w:name="_Toc118793870"/>
      <w:bookmarkStart w:id="352" w:name="_Toc118808922"/>
      <w:bookmarkStart w:id="353" w:name="_Toc118809052"/>
      <w:bookmarkStart w:id="354" w:name="_Toc119331309"/>
      <w:bookmarkStart w:id="355" w:name="_Toc101964460"/>
      <w:bookmarkStart w:id="356" w:name="_Toc102461348"/>
      <w:bookmarkStart w:id="357" w:name="_Toc102463508"/>
      <w:bookmarkStart w:id="358" w:name="_Toc102463610"/>
      <w:bookmarkStart w:id="359" w:name="_Toc108015027"/>
      <w:bookmarkStart w:id="360" w:name="_Toc116480193"/>
      <w:bookmarkStart w:id="361" w:name="_Toc117582108"/>
      <w:bookmarkStart w:id="362" w:name="_Toc117850380"/>
      <w:bookmarkStart w:id="363" w:name="_Toc118189817"/>
      <w:bookmarkStart w:id="364" w:name="_Toc118297838"/>
      <w:bookmarkStart w:id="365" w:name="_Toc118297986"/>
      <w:bookmarkStart w:id="366" w:name="_Toc118793357"/>
      <w:bookmarkStart w:id="367" w:name="_Toc118793408"/>
      <w:bookmarkStart w:id="368" w:name="_Toc118793871"/>
      <w:bookmarkStart w:id="369" w:name="_Toc118808923"/>
      <w:bookmarkStart w:id="370" w:name="_Toc118809053"/>
      <w:bookmarkStart w:id="371" w:name="_Toc119331310"/>
      <w:bookmarkStart w:id="372" w:name="_Toc101964461"/>
      <w:bookmarkStart w:id="373" w:name="_Toc102461349"/>
      <w:bookmarkStart w:id="374" w:name="_Toc102463509"/>
      <w:bookmarkStart w:id="375" w:name="_Toc102463611"/>
      <w:bookmarkStart w:id="376" w:name="_Toc108015028"/>
      <w:bookmarkStart w:id="377" w:name="_Toc116480194"/>
      <w:bookmarkStart w:id="378" w:name="_Toc117582109"/>
      <w:bookmarkStart w:id="379" w:name="_Toc117850381"/>
      <w:bookmarkStart w:id="380" w:name="_Toc118189818"/>
      <w:bookmarkStart w:id="381" w:name="_Toc118297839"/>
      <w:bookmarkStart w:id="382" w:name="_Toc118297987"/>
      <w:bookmarkStart w:id="383" w:name="_Toc118793358"/>
      <w:bookmarkStart w:id="384" w:name="_Toc118793409"/>
      <w:bookmarkStart w:id="385" w:name="_Toc118793872"/>
      <w:bookmarkStart w:id="386" w:name="_Toc118808924"/>
      <w:bookmarkStart w:id="387" w:name="_Toc118809054"/>
      <w:bookmarkStart w:id="388" w:name="_Toc119331311"/>
      <w:bookmarkStart w:id="389" w:name="_Toc101964462"/>
      <w:bookmarkStart w:id="390" w:name="_Toc102461350"/>
      <w:bookmarkStart w:id="391" w:name="_Toc102463510"/>
      <w:bookmarkStart w:id="392" w:name="_Toc102463612"/>
      <w:bookmarkStart w:id="393" w:name="_Toc108015029"/>
      <w:bookmarkStart w:id="394" w:name="_Toc116480195"/>
      <w:bookmarkStart w:id="395" w:name="_Toc117582110"/>
      <w:bookmarkStart w:id="396" w:name="_Toc117850382"/>
      <w:bookmarkStart w:id="397" w:name="_Toc118189819"/>
      <w:bookmarkStart w:id="398" w:name="_Toc118297840"/>
      <w:bookmarkStart w:id="399" w:name="_Toc118297988"/>
      <w:bookmarkStart w:id="400" w:name="_Toc118793359"/>
      <w:bookmarkStart w:id="401" w:name="_Toc118793410"/>
      <w:bookmarkStart w:id="402" w:name="_Toc118793873"/>
      <w:bookmarkStart w:id="403" w:name="_Toc118808925"/>
      <w:bookmarkStart w:id="404" w:name="_Toc118809055"/>
      <w:bookmarkStart w:id="405" w:name="_Toc119331312"/>
      <w:bookmarkStart w:id="406" w:name="_Toc101964463"/>
      <w:bookmarkStart w:id="407" w:name="_Toc102461351"/>
      <w:bookmarkStart w:id="408" w:name="_Toc102463511"/>
      <w:bookmarkStart w:id="409" w:name="_Toc102463613"/>
      <w:bookmarkStart w:id="410" w:name="_Toc108015030"/>
      <w:bookmarkStart w:id="411" w:name="_Toc116480196"/>
      <w:bookmarkStart w:id="412" w:name="_Toc117582111"/>
      <w:bookmarkStart w:id="413" w:name="_Toc117850383"/>
      <w:bookmarkStart w:id="414" w:name="_Toc118189820"/>
      <w:bookmarkStart w:id="415" w:name="_Toc118297841"/>
      <w:bookmarkStart w:id="416" w:name="_Toc118297989"/>
      <w:bookmarkStart w:id="417" w:name="_Toc118793360"/>
      <w:bookmarkStart w:id="418" w:name="_Toc118793411"/>
      <w:bookmarkStart w:id="419" w:name="_Toc118793874"/>
      <w:bookmarkStart w:id="420" w:name="_Toc118808926"/>
      <w:bookmarkStart w:id="421" w:name="_Toc118809056"/>
      <w:bookmarkStart w:id="422" w:name="_Toc119331313"/>
      <w:bookmarkStart w:id="423" w:name="_Toc93922233"/>
      <w:bookmarkStart w:id="424" w:name="_Toc93934475"/>
      <w:bookmarkStart w:id="425" w:name="_Toc93934499"/>
      <w:bookmarkStart w:id="426" w:name="_Toc93937982"/>
      <w:bookmarkStart w:id="427" w:name="_Toc93938019"/>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256AA953" w14:textId="2E19242E" w:rsidR="00B82414" w:rsidRDefault="00B82414" w:rsidP="00574738">
      <w:pPr>
        <w:pStyle w:val="Heading1"/>
        <w:numPr>
          <w:ilvl w:val="0"/>
          <w:numId w:val="17"/>
        </w:numPr>
        <w:ind w:hanging="900"/>
      </w:pPr>
      <w:bookmarkStart w:id="428" w:name="_Toc156487085"/>
      <w:bookmarkStart w:id="429" w:name="_Toc157413968"/>
      <w:r>
        <w:lastRenderedPageBreak/>
        <w:t>Limitations</w:t>
      </w:r>
      <w:bookmarkEnd w:id="428"/>
      <w:bookmarkEnd w:id="429"/>
    </w:p>
    <w:p w14:paraId="1F09467D" w14:textId="7236EEFB" w:rsidR="006563D5" w:rsidRDefault="59D6F3B0" w:rsidP="009F3FDA">
      <w:pPr>
        <w:pStyle w:val="BodyText"/>
      </w:pPr>
      <w:r>
        <w:t>The r</w:t>
      </w:r>
      <w:r w:rsidR="47DAE16E">
        <w:t xml:space="preserve">esults </w:t>
      </w:r>
      <w:r>
        <w:t>included in</w:t>
      </w:r>
      <w:r w:rsidR="47DAE16E">
        <w:t xml:space="preserve"> </w:t>
      </w:r>
      <w:r w:rsidR="14FB7A8A">
        <w:t>this evaluation report</w:t>
      </w:r>
      <w:r w:rsidR="47DAE16E">
        <w:t xml:space="preserve"> </w:t>
      </w:r>
      <w:r w:rsidR="47073856">
        <w:t>should</w:t>
      </w:r>
      <w:r w:rsidR="47DAE16E">
        <w:t xml:space="preserve"> be interpreted alongside the following limitations and considerations</w:t>
      </w:r>
      <w:r>
        <w:t xml:space="preserve">. </w:t>
      </w:r>
    </w:p>
    <w:p w14:paraId="3CA0C890" w14:textId="4BFDAB69" w:rsidR="00EF0E2F" w:rsidRPr="00D66E3A" w:rsidRDefault="00EF0E2F" w:rsidP="009F3FDA">
      <w:pPr>
        <w:pStyle w:val="Heading2"/>
        <w:rPr>
          <w:sz w:val="28"/>
          <w:szCs w:val="28"/>
        </w:rPr>
      </w:pPr>
      <w:bookmarkStart w:id="430" w:name="_Toc155105197"/>
      <w:bookmarkStart w:id="431" w:name="_Toc156487011"/>
      <w:bookmarkStart w:id="432" w:name="_Toc156487086"/>
      <w:bookmarkStart w:id="433" w:name="_Toc156487173"/>
      <w:bookmarkStart w:id="434" w:name="_Toc157413549"/>
      <w:bookmarkStart w:id="435" w:name="_Toc157413698"/>
      <w:bookmarkStart w:id="436" w:name="_Toc157413854"/>
      <w:bookmarkStart w:id="437" w:name="_Toc157413969"/>
      <w:r w:rsidRPr="00D66E3A">
        <w:rPr>
          <w:sz w:val="28"/>
          <w:szCs w:val="28"/>
        </w:rPr>
        <w:t>Delayed program approval</w:t>
      </w:r>
      <w:bookmarkEnd w:id="430"/>
      <w:bookmarkEnd w:id="431"/>
      <w:bookmarkEnd w:id="432"/>
      <w:bookmarkEnd w:id="433"/>
      <w:bookmarkEnd w:id="434"/>
      <w:bookmarkEnd w:id="435"/>
      <w:bookmarkEnd w:id="436"/>
      <w:bookmarkEnd w:id="437"/>
    </w:p>
    <w:p w14:paraId="26662933" w14:textId="54B65F6E" w:rsidR="003E21A6" w:rsidRPr="00075796" w:rsidRDefault="003E21A6" w:rsidP="009F3FDA">
      <w:pPr>
        <w:pStyle w:val="BodyTextafterheading"/>
      </w:pPr>
      <w:r>
        <w:t>While the evaluation uses CY</w:t>
      </w:r>
      <w:r w:rsidR="00325C79">
        <w:t xml:space="preserve"> </w:t>
      </w:r>
      <w:r>
        <w:t xml:space="preserve">2021 as the baseline year, DPP BHS was approved </w:t>
      </w:r>
      <w:r w:rsidR="001A0904">
        <w:t>by CMS in November 2021</w:t>
      </w:r>
      <w:r>
        <w:t xml:space="preserve"> and CHIRP, TIPPS and RAPPS were approved by CMS in March of 2022. </w:t>
      </w:r>
      <w:r w:rsidR="005C47FD">
        <w:t xml:space="preserve">This evaluation only includes process and outcome measure data for 2022, which does not reflect a full year of program implementation. </w:t>
      </w:r>
      <w:r>
        <w:t xml:space="preserve">Program participants may not have engaged in quality improvement activities related to the payment arrangement until the program was approved. </w:t>
      </w:r>
    </w:p>
    <w:p w14:paraId="504B8CE4" w14:textId="5FFB68AD" w:rsidR="00EF0E2F" w:rsidRPr="00D66E3A" w:rsidRDefault="00C2414E" w:rsidP="009F3FDA">
      <w:pPr>
        <w:pStyle w:val="Heading2"/>
        <w:rPr>
          <w:sz w:val="28"/>
          <w:szCs w:val="28"/>
        </w:rPr>
      </w:pPr>
      <w:bookmarkStart w:id="438" w:name="_Toc155105198"/>
      <w:bookmarkStart w:id="439" w:name="_Toc156487012"/>
      <w:bookmarkStart w:id="440" w:name="_Toc156487087"/>
      <w:bookmarkStart w:id="441" w:name="_Toc156487174"/>
      <w:bookmarkStart w:id="442" w:name="_Toc157413550"/>
      <w:bookmarkStart w:id="443" w:name="_Toc157413699"/>
      <w:bookmarkStart w:id="444" w:name="_Toc157413855"/>
      <w:bookmarkStart w:id="445" w:name="_Toc157413970"/>
      <w:r w:rsidRPr="00D66E3A">
        <w:rPr>
          <w:sz w:val="28"/>
          <w:szCs w:val="28"/>
        </w:rPr>
        <w:t>Challenges with p</w:t>
      </w:r>
      <w:r w:rsidR="00EF0E2F" w:rsidRPr="00D66E3A">
        <w:rPr>
          <w:sz w:val="28"/>
          <w:szCs w:val="28"/>
        </w:rPr>
        <w:t xml:space="preserve">rovider reported </w:t>
      </w:r>
      <w:proofErr w:type="gramStart"/>
      <w:r w:rsidR="00EF0E2F" w:rsidRPr="00D66E3A">
        <w:rPr>
          <w:sz w:val="28"/>
          <w:szCs w:val="28"/>
        </w:rPr>
        <w:t>data</w:t>
      </w:r>
      <w:bookmarkEnd w:id="438"/>
      <w:bookmarkEnd w:id="439"/>
      <w:bookmarkEnd w:id="440"/>
      <w:bookmarkEnd w:id="441"/>
      <w:bookmarkEnd w:id="442"/>
      <w:bookmarkEnd w:id="443"/>
      <w:bookmarkEnd w:id="444"/>
      <w:bookmarkEnd w:id="445"/>
      <w:proofErr w:type="gramEnd"/>
    </w:p>
    <w:p w14:paraId="6C3CA68B" w14:textId="55CA6736" w:rsidR="00D050CA" w:rsidRDefault="001A0904" w:rsidP="009F3FDA">
      <w:pPr>
        <w:pStyle w:val="BodyTextafterheading"/>
      </w:pPr>
      <w:r>
        <w:t xml:space="preserve">Because Medicaid clients may be seen by multiple providers and settings, and </w:t>
      </w:r>
      <w:r w:rsidR="00525EFE">
        <w:t xml:space="preserve">program participants </w:t>
      </w:r>
      <w:r>
        <w:t xml:space="preserve">are reporting data based on their own claims systems and electronic health records, provider reported rates reflect a limited picture of the health of clients. </w:t>
      </w:r>
    </w:p>
    <w:p w14:paraId="3534BD88" w14:textId="3605F4F6" w:rsidR="00D050CA" w:rsidRPr="00BA0D87" w:rsidRDefault="00D050CA" w:rsidP="009F3FDA">
      <w:pPr>
        <w:pStyle w:val="BodyTextafterheading"/>
      </w:pPr>
      <w:r>
        <w:t xml:space="preserve">Further, the complexity of measures specifications and administrative burden of reconciling documentation of processes and procedures with measure specifications is a </w:t>
      </w:r>
      <w:r w:rsidR="00C2414E">
        <w:t>challenge</w:t>
      </w:r>
      <w:r>
        <w:t xml:space="preserve"> for many participants. As measures are reported over multiple years and participants refine their data systems, </w:t>
      </w:r>
      <w:r w:rsidR="009D4D65">
        <w:t xml:space="preserve">HHSC </w:t>
      </w:r>
      <w:r>
        <w:t>expect</w:t>
      </w:r>
      <w:r w:rsidR="009D4D65">
        <w:t>s</w:t>
      </w:r>
      <w:r>
        <w:t xml:space="preserve"> the accuracy of the data to improve. During the first year of reporting, </w:t>
      </w:r>
      <w:r w:rsidR="00525EFE">
        <w:t>participants</w:t>
      </w:r>
      <w:r w:rsidR="00525EFE" w:rsidRPr="007E6D37">
        <w:t xml:space="preserve"> </w:t>
      </w:r>
      <w:r w:rsidRPr="007E6D37">
        <w:t>without systems in place to stratify</w:t>
      </w:r>
      <w:r>
        <w:t xml:space="preserve"> data</w:t>
      </w:r>
      <w:r w:rsidRPr="007E6D37">
        <w:t xml:space="preserve"> by </w:t>
      </w:r>
      <w:r w:rsidR="001C679C">
        <w:t>Medicaid-managed</w:t>
      </w:r>
      <w:r>
        <w:t xml:space="preserve"> care</w:t>
      </w:r>
      <w:r w:rsidRPr="007E6D37">
        <w:t xml:space="preserve"> </w:t>
      </w:r>
      <w:r>
        <w:t xml:space="preserve">were allowed </w:t>
      </w:r>
      <w:r w:rsidRPr="007E6D37">
        <w:t>to stratify instead by Medicaid</w:t>
      </w:r>
      <w:r>
        <w:t xml:space="preserve"> (inclusive of </w:t>
      </w:r>
      <w:r w:rsidR="001C679C">
        <w:t>Medicaid-managed</w:t>
      </w:r>
      <w:r>
        <w:t xml:space="preserve"> care and Medicaid fee-for-service)</w:t>
      </w:r>
      <w:r w:rsidRPr="007E6D37">
        <w:t>.</w:t>
      </w:r>
      <w:r>
        <w:t xml:space="preserve"> Many </w:t>
      </w:r>
      <w:r w:rsidR="00525EFE">
        <w:t xml:space="preserve">participants </w:t>
      </w:r>
      <w:r>
        <w:t>had challenges isolating the Medicaid managed care population in their electronic health record.</w:t>
      </w:r>
      <w:r w:rsidR="00E40EDF">
        <w:t xml:space="preserve"> For measures with Medicaid managed care payer type reporting, all providers were required to report Medicaid managed care in year 2 (CY 2021). However, the lack of available Medicaid managed care data for some providers in Year 1 (CY</w:t>
      </w:r>
      <w:r w:rsidR="00325C79">
        <w:t xml:space="preserve"> </w:t>
      </w:r>
      <w:r w:rsidR="00E40EDF">
        <w:t xml:space="preserve">2022) meant that performance trends were limited to providers that were able to report Medicaid managed care in Year 1. </w:t>
      </w:r>
    </w:p>
    <w:p w14:paraId="03936A52" w14:textId="407AFBEF" w:rsidR="001A0904" w:rsidRDefault="001A0904" w:rsidP="009F3FDA">
      <w:pPr>
        <w:pStyle w:val="BodyTextafterheading"/>
      </w:pPr>
      <w:r>
        <w:t xml:space="preserve">Additionally, HHSC staff review </w:t>
      </w:r>
      <w:r w:rsidR="001C679C">
        <w:t>provider-reported</w:t>
      </w:r>
      <w:r w:rsidR="00525EFE">
        <w:t xml:space="preserve"> measures</w:t>
      </w:r>
      <w:r>
        <w:t xml:space="preserve"> to ensure compliance with program requirements and identify potential data quality concerns like outliers or missing values. However, </w:t>
      </w:r>
      <w:r w:rsidR="001C679C">
        <w:t>provider-reported</w:t>
      </w:r>
      <w:r w:rsidR="003E21A6">
        <w:t xml:space="preserve"> data </w:t>
      </w:r>
      <w:r w:rsidR="00727F4C">
        <w:t xml:space="preserve">are </w:t>
      </w:r>
      <w:r w:rsidR="003E21A6">
        <w:t xml:space="preserve">not </w:t>
      </w:r>
      <w:proofErr w:type="gramStart"/>
      <w:r w:rsidR="003E21A6">
        <w:t>audited</w:t>
      </w:r>
      <w:proofErr w:type="gramEnd"/>
      <w:r w:rsidR="003E21A6">
        <w:t xml:space="preserve"> and the accuracy of reported data cannot be verified by HHSC.</w:t>
      </w:r>
      <w:r>
        <w:t xml:space="preserve"> Because of these limitations on provider reporting, improvements in </w:t>
      </w:r>
      <w:r w:rsidR="001C679C">
        <w:t>provider-reported</w:t>
      </w:r>
      <w:r>
        <w:t xml:space="preserve"> rates do not necessarily indicate improvements in health outcomes or the quality of care available to Medicaid clients</w:t>
      </w:r>
      <w:r w:rsidR="009D4D65">
        <w:t>; rather improvement could indicate advances in data collection and reporting</w:t>
      </w:r>
      <w:r w:rsidR="001C679C">
        <w:t>, changes in case mix of a given provider, or other factors outside of a provider</w:t>
      </w:r>
      <w:r w:rsidR="002622D0">
        <w:t>’</w:t>
      </w:r>
      <w:r w:rsidR="001C679C">
        <w:t>s control.</w:t>
      </w:r>
      <w:r>
        <w:t xml:space="preserve"> </w:t>
      </w:r>
    </w:p>
    <w:p w14:paraId="09141C70" w14:textId="12DCCAD3" w:rsidR="00EF0E2F" w:rsidRPr="00D66E3A" w:rsidRDefault="00EF0E2F" w:rsidP="009F3FDA">
      <w:pPr>
        <w:pStyle w:val="Heading2"/>
        <w:rPr>
          <w:sz w:val="28"/>
          <w:szCs w:val="28"/>
        </w:rPr>
      </w:pPr>
      <w:bookmarkStart w:id="446" w:name="_Toc155105199"/>
      <w:bookmarkStart w:id="447" w:name="_Toc156487013"/>
      <w:bookmarkStart w:id="448" w:name="_Toc156487088"/>
      <w:bookmarkStart w:id="449" w:name="_Toc156487175"/>
      <w:bookmarkStart w:id="450" w:name="_Toc157413551"/>
      <w:bookmarkStart w:id="451" w:name="_Toc157413700"/>
      <w:bookmarkStart w:id="452" w:name="_Toc157413856"/>
      <w:bookmarkStart w:id="453" w:name="_Toc157413971"/>
      <w:r w:rsidRPr="00D66E3A">
        <w:rPr>
          <w:sz w:val="28"/>
          <w:szCs w:val="28"/>
        </w:rPr>
        <w:lastRenderedPageBreak/>
        <w:t>Alignment of measurement year and rating period</w:t>
      </w:r>
      <w:bookmarkEnd w:id="446"/>
      <w:bookmarkEnd w:id="447"/>
      <w:bookmarkEnd w:id="448"/>
      <w:bookmarkEnd w:id="449"/>
      <w:bookmarkEnd w:id="450"/>
      <w:bookmarkEnd w:id="451"/>
      <w:bookmarkEnd w:id="452"/>
      <w:bookmarkEnd w:id="453"/>
    </w:p>
    <w:p w14:paraId="5DCC0915" w14:textId="21300200" w:rsidR="0066544E" w:rsidRPr="00E655D3" w:rsidRDefault="00912352" w:rsidP="009F3FDA">
      <w:pPr>
        <w:pStyle w:val="BodyText"/>
      </w:pPr>
      <w:r>
        <w:t>T</w:t>
      </w:r>
      <w:r w:rsidR="0066544E" w:rsidRPr="001475DC">
        <w:t xml:space="preserve">he </w:t>
      </w:r>
      <w:r w:rsidR="00501FE4">
        <w:t>DPP</w:t>
      </w:r>
      <w:r w:rsidR="003837F0">
        <w:t>’s</w:t>
      </w:r>
      <w:r w:rsidR="00501FE4">
        <w:t xml:space="preserve"> </w:t>
      </w:r>
      <w:r w:rsidR="0066544E" w:rsidRPr="001475DC">
        <w:t xml:space="preserve">program year and the evaluation measurement </w:t>
      </w:r>
      <w:r w:rsidR="00C65041">
        <w:t>period</w:t>
      </w:r>
      <w:r w:rsidR="0066544E" w:rsidRPr="001475DC">
        <w:t xml:space="preserve"> operate on overlapping timeframes. For example, the </w:t>
      </w:r>
      <w:r w:rsidR="00501FE4">
        <w:t xml:space="preserve">first </w:t>
      </w:r>
      <w:r w:rsidR="0066544E" w:rsidRPr="001475DC">
        <w:t xml:space="preserve">program implementation year of </w:t>
      </w:r>
      <w:r w:rsidR="003837F0">
        <w:t xml:space="preserve">the </w:t>
      </w:r>
      <w:r w:rsidR="00501FE4">
        <w:t>DPP</w:t>
      </w:r>
      <w:r w:rsidR="003837F0">
        <w:t>s</w:t>
      </w:r>
      <w:r w:rsidR="0066544E" w:rsidRPr="001475DC">
        <w:t xml:space="preserve"> is state fiscal year </w:t>
      </w:r>
      <w:r w:rsidR="00501FE4">
        <w:t xml:space="preserve">2022 </w:t>
      </w:r>
      <w:r w:rsidR="0066544E" w:rsidRPr="001475DC">
        <w:t>(September 1</w:t>
      </w:r>
      <w:r w:rsidR="00501FE4">
        <w:t>, 2021</w:t>
      </w:r>
      <w:r w:rsidR="0066544E" w:rsidRPr="001475DC">
        <w:t xml:space="preserve"> </w:t>
      </w:r>
      <w:r w:rsidR="00325C79">
        <w:t>-</w:t>
      </w:r>
      <w:r w:rsidR="00325C79" w:rsidRPr="001475DC">
        <w:t xml:space="preserve"> </w:t>
      </w:r>
      <w:r w:rsidR="0066544E">
        <w:t>August</w:t>
      </w:r>
      <w:r w:rsidR="0066544E" w:rsidRPr="001475DC">
        <w:t xml:space="preserve"> 31</w:t>
      </w:r>
      <w:r w:rsidR="00501FE4">
        <w:t>, 2022</w:t>
      </w:r>
      <w:r w:rsidR="0066544E" w:rsidRPr="001475DC">
        <w:t xml:space="preserve">), while the </w:t>
      </w:r>
      <w:r w:rsidR="00E40EDF">
        <w:t xml:space="preserve">first </w:t>
      </w:r>
      <w:r w:rsidR="0066544E" w:rsidRPr="001475DC">
        <w:t>evaluation measurement period</w:t>
      </w:r>
      <w:r w:rsidR="0066544E">
        <w:t xml:space="preserve"> is the </w:t>
      </w:r>
      <w:r w:rsidR="0044162B">
        <w:t xml:space="preserve">calendar year </w:t>
      </w:r>
      <w:r w:rsidR="00501FE4">
        <w:t xml:space="preserve">2021 </w:t>
      </w:r>
      <w:r w:rsidR="0066544E">
        <w:t>(January 1</w:t>
      </w:r>
      <w:r w:rsidR="00501FE4">
        <w:t xml:space="preserve">, 2021 </w:t>
      </w:r>
      <w:r w:rsidR="00325C79">
        <w:t>-</w:t>
      </w:r>
      <w:r w:rsidR="00325C79" w:rsidRPr="005942CD">
        <w:t xml:space="preserve"> </w:t>
      </w:r>
      <w:r w:rsidR="0066544E" w:rsidRPr="005942CD">
        <w:t>December 31</w:t>
      </w:r>
      <w:r w:rsidR="00501FE4" w:rsidRPr="005942CD">
        <w:t>, 2021</w:t>
      </w:r>
      <w:r w:rsidR="0066544E" w:rsidRPr="005942CD">
        <w:t xml:space="preserve">). </w:t>
      </w:r>
      <w:r w:rsidR="00E40EDF">
        <w:t>Similarly, t</w:t>
      </w:r>
      <w:r w:rsidR="00E40EDF" w:rsidRPr="00E40EDF">
        <w:t xml:space="preserve">he </w:t>
      </w:r>
      <w:r w:rsidR="00E40EDF">
        <w:t>second</w:t>
      </w:r>
      <w:r w:rsidR="00E40EDF" w:rsidRPr="00E40EDF">
        <w:t xml:space="preserve"> program implementation year of the DPPs is state fiscal year 202</w:t>
      </w:r>
      <w:r w:rsidR="00E40EDF">
        <w:t>3</w:t>
      </w:r>
      <w:r w:rsidR="00E40EDF" w:rsidRPr="00E40EDF">
        <w:t xml:space="preserve"> (September 1, 202</w:t>
      </w:r>
      <w:r w:rsidR="00E40EDF">
        <w:t>2</w:t>
      </w:r>
      <w:r w:rsidR="00E40EDF" w:rsidRPr="00E40EDF">
        <w:t xml:space="preserve"> </w:t>
      </w:r>
      <w:r w:rsidR="00325C79">
        <w:t>-</w:t>
      </w:r>
      <w:r w:rsidR="00325C79" w:rsidRPr="00E40EDF">
        <w:t xml:space="preserve"> </w:t>
      </w:r>
      <w:r w:rsidR="00E40EDF" w:rsidRPr="00E40EDF">
        <w:t>August 31, 202</w:t>
      </w:r>
      <w:r w:rsidR="00E40EDF">
        <w:t>3</w:t>
      </w:r>
      <w:r w:rsidR="00E40EDF" w:rsidRPr="00E40EDF">
        <w:t xml:space="preserve">), while the </w:t>
      </w:r>
      <w:r w:rsidR="00E40EDF">
        <w:t>second</w:t>
      </w:r>
      <w:r w:rsidR="00E40EDF" w:rsidRPr="00E40EDF">
        <w:t xml:space="preserve"> evaluation measurement period is the calendar year 202</w:t>
      </w:r>
      <w:r w:rsidR="00E40EDF">
        <w:t>2</w:t>
      </w:r>
      <w:r w:rsidR="00E40EDF" w:rsidRPr="00E40EDF">
        <w:t xml:space="preserve"> (January 1, 202</w:t>
      </w:r>
      <w:r w:rsidR="00E40EDF">
        <w:t>2</w:t>
      </w:r>
      <w:r w:rsidR="00E40EDF" w:rsidRPr="00E40EDF">
        <w:t xml:space="preserve"> </w:t>
      </w:r>
      <w:r w:rsidR="00325C79">
        <w:t>-</w:t>
      </w:r>
      <w:r w:rsidR="00325C79" w:rsidRPr="00E40EDF">
        <w:t xml:space="preserve"> </w:t>
      </w:r>
      <w:r w:rsidR="00E40EDF" w:rsidRPr="00E40EDF">
        <w:t>December 31, 202</w:t>
      </w:r>
      <w:r w:rsidR="00E40EDF">
        <w:t>2</w:t>
      </w:r>
      <w:r w:rsidR="00E40EDF" w:rsidRPr="00E40EDF">
        <w:t xml:space="preserve">). </w:t>
      </w:r>
      <w:r w:rsidR="0066544E" w:rsidRPr="005942CD">
        <w:t xml:space="preserve">In other words, </w:t>
      </w:r>
      <w:r w:rsidR="00E40EDF">
        <w:t>while the programs operate on state fiscal years</w:t>
      </w:r>
      <w:r w:rsidR="0066544E" w:rsidRPr="00E655D3">
        <w:t>, the evaluation</w:t>
      </w:r>
      <w:r w:rsidR="00E40EDF">
        <w:t>s</w:t>
      </w:r>
      <w:r w:rsidR="0066544E" w:rsidRPr="00E655D3">
        <w:t xml:space="preserve"> use a measurement period of </w:t>
      </w:r>
      <w:r w:rsidR="007D7C88">
        <w:t xml:space="preserve">January 1 through December 31, </w:t>
      </w:r>
      <w:r w:rsidR="0066544E" w:rsidRPr="00E655D3">
        <w:t xml:space="preserve">to align with measurement timeframes used by </w:t>
      </w:r>
      <w:r w:rsidR="00C65041">
        <w:t xml:space="preserve">the participating </w:t>
      </w:r>
      <w:r w:rsidR="0066544E" w:rsidRPr="00E655D3">
        <w:t xml:space="preserve">providers and the EQRO, who are </w:t>
      </w:r>
      <w:r w:rsidR="00C65041">
        <w:t>t</w:t>
      </w:r>
      <w:r w:rsidR="0066544E" w:rsidRPr="00E655D3">
        <w:t>he data source</w:t>
      </w:r>
      <w:r w:rsidR="00ED3992">
        <w:t>s</w:t>
      </w:r>
      <w:r w:rsidR="0066544E" w:rsidRPr="00E655D3">
        <w:t xml:space="preserve"> for the evaluation measures.</w:t>
      </w:r>
    </w:p>
    <w:p w14:paraId="5DC4A93E" w14:textId="6F04D84C" w:rsidR="00EF0E2F" w:rsidRPr="00D66E3A" w:rsidRDefault="00EF0E2F" w:rsidP="009F3FDA">
      <w:pPr>
        <w:pStyle w:val="Heading2"/>
        <w:rPr>
          <w:sz w:val="28"/>
          <w:szCs w:val="28"/>
        </w:rPr>
      </w:pPr>
      <w:bookmarkStart w:id="454" w:name="_Toc155105200"/>
      <w:bookmarkStart w:id="455" w:name="_Toc156487014"/>
      <w:bookmarkStart w:id="456" w:name="_Toc156487089"/>
      <w:bookmarkStart w:id="457" w:name="_Toc156487176"/>
      <w:bookmarkStart w:id="458" w:name="_Toc157413552"/>
      <w:bookmarkStart w:id="459" w:name="_Toc157413701"/>
      <w:bookmarkStart w:id="460" w:name="_Toc157413857"/>
      <w:bookmarkStart w:id="461" w:name="_Toc157413972"/>
      <w:r w:rsidRPr="00D66E3A">
        <w:rPr>
          <w:sz w:val="28"/>
          <w:szCs w:val="28"/>
        </w:rPr>
        <w:t>Impact</w:t>
      </w:r>
      <w:r w:rsidR="003E21A6" w:rsidRPr="00D66E3A">
        <w:rPr>
          <w:sz w:val="28"/>
          <w:szCs w:val="28"/>
        </w:rPr>
        <w:t>s</w:t>
      </w:r>
      <w:r w:rsidRPr="00D66E3A">
        <w:rPr>
          <w:sz w:val="28"/>
          <w:szCs w:val="28"/>
        </w:rPr>
        <w:t xml:space="preserve"> of</w:t>
      </w:r>
      <w:r w:rsidR="003E21A6" w:rsidRPr="00D66E3A">
        <w:rPr>
          <w:sz w:val="28"/>
          <w:szCs w:val="28"/>
        </w:rPr>
        <w:t xml:space="preserve"> the COVID-19</w:t>
      </w:r>
      <w:r w:rsidRPr="00D66E3A">
        <w:rPr>
          <w:sz w:val="28"/>
          <w:szCs w:val="28"/>
        </w:rPr>
        <w:t xml:space="preserve"> Public Health Emergency</w:t>
      </w:r>
      <w:bookmarkEnd w:id="454"/>
      <w:bookmarkEnd w:id="455"/>
      <w:bookmarkEnd w:id="456"/>
      <w:bookmarkEnd w:id="457"/>
      <w:bookmarkEnd w:id="458"/>
      <w:bookmarkEnd w:id="459"/>
      <w:bookmarkEnd w:id="460"/>
      <w:bookmarkEnd w:id="461"/>
    </w:p>
    <w:p w14:paraId="7785546D" w14:textId="46FE49BB" w:rsidR="0066544E" w:rsidRPr="00E66446" w:rsidRDefault="00912352" w:rsidP="009F3FDA">
      <w:pPr>
        <w:pStyle w:val="BodyText"/>
      </w:pPr>
      <w:r>
        <w:t>T</w:t>
      </w:r>
      <w:r w:rsidR="003837F0">
        <w:t xml:space="preserve">he </w:t>
      </w:r>
      <w:r w:rsidR="00F61F25">
        <w:t>DPP</w:t>
      </w:r>
      <w:r w:rsidR="003837F0">
        <w:t>s</w:t>
      </w:r>
      <w:r w:rsidR="00F61F25">
        <w:t xml:space="preserve"> </w:t>
      </w:r>
      <w:r w:rsidR="00325C79">
        <w:t>were</w:t>
      </w:r>
      <w:r w:rsidR="0066544E">
        <w:t xml:space="preserve"> implemented amidst the </w:t>
      </w:r>
      <w:r w:rsidR="00F61F25">
        <w:t xml:space="preserve">ongoing </w:t>
      </w:r>
      <w:r w:rsidR="0066544E">
        <w:t xml:space="preserve">uncertainty of the COVID-19 </w:t>
      </w:r>
      <w:r w:rsidR="0044162B">
        <w:t xml:space="preserve">federal </w:t>
      </w:r>
      <w:r w:rsidR="0066544E">
        <w:t xml:space="preserve">public health emergency (PHE). </w:t>
      </w:r>
      <w:r w:rsidR="00325C79">
        <w:t xml:space="preserve">Beginning in </w:t>
      </w:r>
      <w:r w:rsidR="0066544E">
        <w:t xml:space="preserve">March 2020, the PHE shifted priorities and operations for Medicaid providers and managed care organizations in the state and impacted </w:t>
      </w:r>
      <w:r w:rsidR="007124A2">
        <w:t>Medicaid managed care</w:t>
      </w:r>
      <w:r w:rsidR="0066544E">
        <w:t xml:space="preserve"> clients.</w:t>
      </w:r>
      <w:r w:rsidR="0066544E" w:rsidRPr="00580DE6">
        <w:t xml:space="preserve"> </w:t>
      </w:r>
      <w:r w:rsidR="0066544E" w:rsidRPr="00E66446">
        <w:rPr>
          <w:rFonts w:cs="Times New Roman"/>
          <w:szCs w:val="24"/>
        </w:rPr>
        <w:t xml:space="preserve">HHSC anticipates the </w:t>
      </w:r>
      <w:r w:rsidR="0066544E" w:rsidRPr="00E66446">
        <w:t xml:space="preserve">PHE will have significant direct and indirect impacts on the evaluation measures. </w:t>
      </w:r>
      <w:r w:rsidR="008111DF">
        <w:t xml:space="preserve">The PHE </w:t>
      </w:r>
      <w:r w:rsidR="00154235">
        <w:t xml:space="preserve">expired </w:t>
      </w:r>
      <w:r w:rsidR="008111DF">
        <w:t>in May 2023</w:t>
      </w:r>
      <w:r w:rsidR="00325C79">
        <w:t>,</w:t>
      </w:r>
      <w:r w:rsidR="008111DF">
        <w:t xml:space="preserve"> and</w:t>
      </w:r>
      <w:r w:rsidR="0066544E" w:rsidRPr="00E66446">
        <w:t xml:space="preserve"> the </w:t>
      </w:r>
      <w:r w:rsidR="008111DF">
        <w:t>short and long-term</w:t>
      </w:r>
      <w:r w:rsidR="008111DF" w:rsidRPr="00E66446">
        <w:t xml:space="preserve"> </w:t>
      </w:r>
      <w:r w:rsidR="0066544E" w:rsidRPr="00E66446">
        <w:t xml:space="preserve">effects of the PHE on </w:t>
      </w:r>
      <w:r w:rsidR="008111DF">
        <w:t xml:space="preserve">the </w:t>
      </w:r>
      <w:r w:rsidR="0066544E" w:rsidRPr="00E66446">
        <w:t>health care delivery systems</w:t>
      </w:r>
      <w:r w:rsidR="008111DF">
        <w:t xml:space="preserve"> are still unknown</w:t>
      </w:r>
      <w:r w:rsidR="0066544E" w:rsidRPr="00E66446">
        <w:t xml:space="preserve">. </w:t>
      </w:r>
      <w:r w:rsidR="00344939" w:rsidRPr="00E66446">
        <w:rPr>
          <w:szCs w:val="22"/>
        </w:rPr>
        <w:t xml:space="preserve">Within the appropriate context of the PHE, </w:t>
      </w:r>
      <w:r w:rsidR="00344939" w:rsidRPr="003D1004">
        <w:rPr>
          <w:szCs w:val="22"/>
        </w:rPr>
        <w:t>this evaluation report</w:t>
      </w:r>
      <w:r w:rsidR="0066544E" w:rsidRPr="00E66446">
        <w:rPr>
          <w:szCs w:val="22"/>
        </w:rPr>
        <w:t xml:space="preserve"> present</w:t>
      </w:r>
      <w:r w:rsidR="00344939" w:rsidRPr="00E66446">
        <w:rPr>
          <w:szCs w:val="22"/>
        </w:rPr>
        <w:t>s</w:t>
      </w:r>
      <w:r w:rsidR="0066544E" w:rsidRPr="00E66446">
        <w:rPr>
          <w:szCs w:val="22"/>
        </w:rPr>
        <w:t xml:space="preserve"> </w:t>
      </w:r>
      <w:r w:rsidR="008111DF">
        <w:rPr>
          <w:szCs w:val="22"/>
        </w:rPr>
        <w:t xml:space="preserve">as </w:t>
      </w:r>
      <w:r w:rsidR="0066544E" w:rsidRPr="00E66446">
        <w:rPr>
          <w:szCs w:val="22"/>
        </w:rPr>
        <w:t>pertinent results as possible.</w:t>
      </w:r>
    </w:p>
    <w:p w14:paraId="540CB63C" w14:textId="04989351" w:rsidR="003E21A6" w:rsidRPr="00D66E3A" w:rsidRDefault="003E21A6" w:rsidP="009F3FDA">
      <w:pPr>
        <w:pStyle w:val="Heading2"/>
        <w:rPr>
          <w:sz w:val="28"/>
          <w:szCs w:val="28"/>
        </w:rPr>
      </w:pPr>
      <w:bookmarkStart w:id="462" w:name="_Toc155105201"/>
      <w:bookmarkStart w:id="463" w:name="_Toc156487015"/>
      <w:bookmarkStart w:id="464" w:name="_Toc156487090"/>
      <w:bookmarkStart w:id="465" w:name="_Toc156487177"/>
      <w:bookmarkStart w:id="466" w:name="_Toc157413553"/>
      <w:bookmarkStart w:id="467" w:name="_Toc157413702"/>
      <w:bookmarkStart w:id="468" w:name="_Toc157413858"/>
      <w:bookmarkStart w:id="469" w:name="_Toc157413973"/>
      <w:r w:rsidRPr="00D66E3A">
        <w:rPr>
          <w:sz w:val="28"/>
          <w:szCs w:val="28"/>
        </w:rPr>
        <w:t xml:space="preserve">Changes in program enrollment and reporting </w:t>
      </w:r>
      <w:proofErr w:type="gramStart"/>
      <w:r w:rsidRPr="00D66E3A">
        <w:rPr>
          <w:sz w:val="28"/>
          <w:szCs w:val="28"/>
        </w:rPr>
        <w:t>requirements</w:t>
      </w:r>
      <w:bookmarkEnd w:id="462"/>
      <w:bookmarkEnd w:id="463"/>
      <w:bookmarkEnd w:id="464"/>
      <w:bookmarkEnd w:id="465"/>
      <w:bookmarkEnd w:id="466"/>
      <w:bookmarkEnd w:id="467"/>
      <w:bookmarkEnd w:id="468"/>
      <w:bookmarkEnd w:id="469"/>
      <w:proofErr w:type="gramEnd"/>
      <w:r w:rsidRPr="00D66E3A">
        <w:rPr>
          <w:sz w:val="28"/>
          <w:szCs w:val="28"/>
        </w:rPr>
        <w:t xml:space="preserve"> </w:t>
      </w:r>
    </w:p>
    <w:p w14:paraId="27321143" w14:textId="6ACFED78" w:rsidR="00D050CA" w:rsidRPr="00075796" w:rsidRDefault="00D050CA" w:rsidP="009F3FDA">
      <w:pPr>
        <w:pStyle w:val="BodyTextafterheading"/>
      </w:pPr>
      <w:r>
        <w:t>The DPPs all have an annual approval, and the participating population is subject to change year over year. This impact</w:t>
      </w:r>
      <w:r w:rsidR="00E40EDF">
        <w:t>s</w:t>
      </w:r>
      <w:r>
        <w:t xml:space="preserve"> the </w:t>
      </w:r>
      <w:r w:rsidR="00E61CC1">
        <w:t>evaluation’s</w:t>
      </w:r>
      <w:r>
        <w:t xml:space="preserve"> ability to track changes year over year. </w:t>
      </w:r>
    </w:p>
    <w:p w14:paraId="31DEF853" w14:textId="52728EDE" w:rsidR="00912352" w:rsidRPr="00D66E3A" w:rsidRDefault="00912352" w:rsidP="009F3FDA">
      <w:pPr>
        <w:pStyle w:val="Heading2"/>
        <w:rPr>
          <w:sz w:val="28"/>
          <w:szCs w:val="28"/>
        </w:rPr>
      </w:pPr>
      <w:bookmarkStart w:id="470" w:name="_Toc155105202"/>
      <w:bookmarkStart w:id="471" w:name="_Toc156487016"/>
      <w:bookmarkStart w:id="472" w:name="_Toc156487091"/>
      <w:bookmarkStart w:id="473" w:name="_Toc156487178"/>
      <w:bookmarkStart w:id="474" w:name="_Toc157413554"/>
      <w:bookmarkStart w:id="475" w:name="_Toc157413703"/>
      <w:bookmarkStart w:id="476" w:name="_Toc157413859"/>
      <w:bookmarkStart w:id="477" w:name="_Toc157413974"/>
      <w:r w:rsidRPr="00D66E3A">
        <w:rPr>
          <w:sz w:val="28"/>
          <w:szCs w:val="28"/>
        </w:rPr>
        <w:t>Causal relationships</w:t>
      </w:r>
      <w:bookmarkStart w:id="478" w:name="_Hlk126058711"/>
      <w:bookmarkEnd w:id="470"/>
      <w:bookmarkEnd w:id="471"/>
      <w:bookmarkEnd w:id="472"/>
      <w:bookmarkEnd w:id="473"/>
      <w:bookmarkEnd w:id="474"/>
      <w:bookmarkEnd w:id="475"/>
      <w:bookmarkEnd w:id="476"/>
      <w:bookmarkEnd w:id="477"/>
    </w:p>
    <w:p w14:paraId="6E256DFD" w14:textId="77777777" w:rsidR="00912352" w:rsidRDefault="0066544E" w:rsidP="009F3FDA">
      <w:pPr>
        <w:pStyle w:val="BodyText"/>
      </w:pPr>
      <w:r w:rsidRPr="00E66446">
        <w:t xml:space="preserve">Lastly, the </w:t>
      </w:r>
      <w:r w:rsidR="003837F0">
        <w:t>final</w:t>
      </w:r>
      <w:r w:rsidR="00C65041" w:rsidRPr="00E66446">
        <w:t xml:space="preserve"> baseline r</w:t>
      </w:r>
      <w:r w:rsidRPr="00E66446">
        <w:t xml:space="preserve">esults </w:t>
      </w:r>
      <w:r w:rsidR="00C65041" w:rsidRPr="00E66446">
        <w:t>included in</w:t>
      </w:r>
      <w:r w:rsidRPr="00E66446">
        <w:t xml:space="preserve"> </w:t>
      </w:r>
      <w:r w:rsidR="00D23B29" w:rsidRPr="00E66446">
        <w:t xml:space="preserve">this </w:t>
      </w:r>
      <w:r w:rsidRPr="003D1004">
        <w:t xml:space="preserve">evaluation </w:t>
      </w:r>
      <w:r w:rsidR="00D23B29" w:rsidRPr="003D1004">
        <w:t>report</w:t>
      </w:r>
      <w:r w:rsidR="00D23B29" w:rsidRPr="00E66446">
        <w:t xml:space="preserve"> </w:t>
      </w:r>
      <w:r w:rsidR="009C1DCB" w:rsidRPr="00E66446">
        <w:t>do</w:t>
      </w:r>
      <w:r w:rsidR="00C65041" w:rsidRPr="00E66446">
        <w:t xml:space="preserve"> </w:t>
      </w:r>
      <w:r w:rsidRPr="00E66446">
        <w:t xml:space="preserve">not determine any causal relationships </w:t>
      </w:r>
      <w:r w:rsidR="00C65041" w:rsidRPr="00E66446">
        <w:t>between</w:t>
      </w:r>
      <w:r w:rsidRPr="00E66446">
        <w:t xml:space="preserve"> </w:t>
      </w:r>
      <w:r w:rsidR="003837F0">
        <w:t xml:space="preserve">the </w:t>
      </w:r>
      <w:r w:rsidR="009C1DCB" w:rsidRPr="00E66446">
        <w:t>DPP</w:t>
      </w:r>
      <w:r w:rsidR="003837F0">
        <w:t>s</w:t>
      </w:r>
      <w:r w:rsidR="009C1DCB" w:rsidRPr="00E66446">
        <w:t xml:space="preserve"> </w:t>
      </w:r>
      <w:r w:rsidRPr="00E66446">
        <w:t xml:space="preserve">and the evaluation measures, only associations between the impact of </w:t>
      </w:r>
      <w:r w:rsidR="003837F0">
        <w:t xml:space="preserve">the </w:t>
      </w:r>
      <w:r w:rsidR="009566CA" w:rsidRPr="00E66446">
        <w:t>DPP</w:t>
      </w:r>
      <w:r w:rsidR="003837F0">
        <w:t>s</w:t>
      </w:r>
      <w:r w:rsidRPr="00E66446">
        <w:t xml:space="preserve"> and the evaluation measures. </w:t>
      </w:r>
      <w:bookmarkStart w:id="479" w:name="_Hlk93574116"/>
    </w:p>
    <w:bookmarkEnd w:id="478"/>
    <w:p w14:paraId="764B82A4" w14:textId="2AC2E12E" w:rsidR="00C6740B" w:rsidRDefault="0066544E" w:rsidP="009F3FDA">
      <w:pPr>
        <w:pStyle w:val="BodyText"/>
      </w:pPr>
      <w:r w:rsidRPr="00E66446">
        <w:t>Despite these limitations,</w:t>
      </w:r>
      <w:r w:rsidR="008E1BC5" w:rsidRPr="00E66446">
        <w:t xml:space="preserve"> </w:t>
      </w:r>
      <w:r w:rsidRPr="003D1004">
        <w:t>th</w:t>
      </w:r>
      <w:r w:rsidR="00265150" w:rsidRPr="003D1004">
        <w:t>is evaluation report</w:t>
      </w:r>
      <w:r w:rsidRPr="003D1004">
        <w:t xml:space="preserve"> </w:t>
      </w:r>
      <w:r w:rsidR="00DE525A" w:rsidRPr="003D1004">
        <w:t>presents</w:t>
      </w:r>
      <w:r w:rsidRPr="003D1004">
        <w:t xml:space="preserve"> </w:t>
      </w:r>
      <w:r w:rsidR="006C544A" w:rsidRPr="003D1004">
        <w:t>a</w:t>
      </w:r>
      <w:r w:rsidR="003837F0">
        <w:t>n</w:t>
      </w:r>
      <w:r w:rsidR="006C544A" w:rsidRPr="003D1004">
        <w:t xml:space="preserve"> indication of provider performance </w:t>
      </w:r>
      <w:r w:rsidR="00A63A18">
        <w:t xml:space="preserve">during the </w:t>
      </w:r>
      <w:r w:rsidR="00912352">
        <w:t xml:space="preserve">first </w:t>
      </w:r>
      <w:r w:rsidR="00C46871">
        <w:t>two and a half years</w:t>
      </w:r>
      <w:r w:rsidR="00912352">
        <w:t xml:space="preserve"> of the </w:t>
      </w:r>
      <w:r w:rsidR="00AF5C48">
        <w:t>DPPs</w:t>
      </w:r>
      <w:r w:rsidRPr="003D1004">
        <w:t>.</w:t>
      </w:r>
      <w:bookmarkStart w:id="480" w:name="_Toc62573306"/>
      <w:bookmarkStart w:id="481" w:name="_Toc82177888"/>
      <w:bookmarkStart w:id="482" w:name="_Toc82177889"/>
      <w:bookmarkStart w:id="483" w:name="_Toc82177890"/>
      <w:bookmarkStart w:id="484" w:name="_Toc62573307"/>
      <w:bookmarkStart w:id="485" w:name="_Toc82177891"/>
      <w:bookmarkStart w:id="486" w:name="_Toc62573308"/>
      <w:bookmarkStart w:id="487" w:name="_Toc82177892"/>
      <w:bookmarkStart w:id="488" w:name="_Toc62573324"/>
      <w:bookmarkStart w:id="489" w:name="_Toc82177908"/>
      <w:bookmarkStart w:id="490" w:name="_Toc62573325"/>
      <w:bookmarkStart w:id="491" w:name="_Toc82177909"/>
      <w:bookmarkEnd w:id="480"/>
      <w:bookmarkEnd w:id="481"/>
      <w:bookmarkEnd w:id="482"/>
      <w:bookmarkEnd w:id="483"/>
      <w:bookmarkEnd w:id="484"/>
      <w:bookmarkEnd w:id="485"/>
      <w:bookmarkEnd w:id="486"/>
      <w:bookmarkEnd w:id="487"/>
      <w:bookmarkEnd w:id="488"/>
      <w:bookmarkEnd w:id="489"/>
      <w:bookmarkEnd w:id="490"/>
      <w:bookmarkEnd w:id="491"/>
    </w:p>
    <w:p w14:paraId="149F5A6F" w14:textId="73201D19" w:rsidR="005E5DFE" w:rsidRDefault="005E5DFE" w:rsidP="00574738">
      <w:pPr>
        <w:pStyle w:val="Heading1"/>
        <w:numPr>
          <w:ilvl w:val="0"/>
          <w:numId w:val="17"/>
        </w:numPr>
        <w:ind w:hanging="900"/>
      </w:pPr>
      <w:bookmarkStart w:id="492" w:name="_Toc156487092"/>
      <w:bookmarkStart w:id="493" w:name="_Toc157413975"/>
      <w:bookmarkEnd w:id="479"/>
      <w:r>
        <w:lastRenderedPageBreak/>
        <w:t>Conclusion</w:t>
      </w:r>
      <w:bookmarkEnd w:id="492"/>
      <w:bookmarkEnd w:id="493"/>
    </w:p>
    <w:p w14:paraId="75D6D257" w14:textId="28296389" w:rsidR="005E1830" w:rsidRDefault="00F60DF0" w:rsidP="00F60DF0">
      <w:pPr>
        <w:pStyle w:val="PText"/>
      </w:pPr>
      <w:bookmarkStart w:id="494" w:name="_Hlk61438697"/>
      <w:r>
        <w:t xml:space="preserve">This report satisfies the requirement that </w:t>
      </w:r>
      <w:r w:rsidR="00AF5C48">
        <w:t xml:space="preserve">each </w:t>
      </w:r>
      <w:r>
        <w:t xml:space="preserve">DPP must be evaluated to </w:t>
      </w:r>
      <w:r w:rsidR="00AF5C48">
        <w:t xml:space="preserve">measure the degree to which </w:t>
      </w:r>
      <w:r>
        <w:t>the payment arrangement advances the goals of the</w:t>
      </w:r>
      <w:r w:rsidR="00AF5C48">
        <w:t xml:space="preserve"> Texas Managed Care </w:t>
      </w:r>
      <w:r w:rsidR="00AF5C48" w:rsidRPr="00352B52">
        <w:t>Quality Strategy</w:t>
      </w:r>
      <w:r>
        <w:t xml:space="preserve">. </w:t>
      </w:r>
      <w:r w:rsidR="00F87B79">
        <w:t>While trends in performance</w:t>
      </w:r>
      <w:r w:rsidR="002547CA">
        <w:t xml:space="preserve"> are preliminary</w:t>
      </w:r>
      <w:r w:rsidR="00F87B79">
        <w:t xml:space="preserve">, </w:t>
      </w:r>
      <w:r w:rsidR="005E1830">
        <w:t>this evaluation shows</w:t>
      </w:r>
      <w:r w:rsidR="002547CA">
        <w:t xml:space="preserve"> that</w:t>
      </w:r>
      <w:r w:rsidR="00AF5C48">
        <w:t xml:space="preserve"> two-thirds </w:t>
      </w:r>
      <w:r w:rsidR="002547CA">
        <w:t xml:space="preserve">of </w:t>
      </w:r>
      <w:r w:rsidR="00624F2C">
        <w:t>the process and outcome measures with evaluation targets showed improved performance</w:t>
      </w:r>
      <w:r w:rsidR="00282E1A">
        <w:t xml:space="preserve"> in 2022</w:t>
      </w:r>
      <w:r w:rsidR="005E1830">
        <w:t xml:space="preserve"> and the state is effectively furthering the goals and objectives of the quality strategy.</w:t>
      </w:r>
    </w:p>
    <w:bookmarkEnd w:id="494"/>
    <w:p w14:paraId="4C148CD0" w14:textId="3B1C8A0D" w:rsidR="00FB6A18" w:rsidRDefault="00FB6A18">
      <w:pPr>
        <w:spacing w:before="0" w:after="240"/>
      </w:pPr>
      <w:r>
        <w:br w:type="page"/>
      </w:r>
    </w:p>
    <w:p w14:paraId="78248715" w14:textId="1B78E19D" w:rsidR="00BA4BB8" w:rsidRDefault="00BA4BB8" w:rsidP="00BA4BB8">
      <w:pPr>
        <w:pStyle w:val="Heading1"/>
        <w:numPr>
          <w:ilvl w:val="0"/>
          <w:numId w:val="0"/>
        </w:numPr>
      </w:pPr>
      <w:bookmarkStart w:id="495" w:name="_Toc156487093"/>
      <w:bookmarkStart w:id="496" w:name="_Toc157413976"/>
      <w:r>
        <w:lastRenderedPageBreak/>
        <w:t xml:space="preserve">Appendix A: </w:t>
      </w:r>
      <w:r w:rsidR="003505D1">
        <w:t>List of Acronyms</w:t>
      </w:r>
      <w:bookmarkEnd w:id="495"/>
      <w:bookmarkEnd w:id="496"/>
    </w:p>
    <w:p w14:paraId="7E91FB66" w14:textId="7F149255" w:rsidR="003505D1" w:rsidRDefault="003505D1" w:rsidP="003B09DD">
      <w:pPr>
        <w:pStyle w:val="BodyText"/>
      </w:pPr>
    </w:p>
    <w:tbl>
      <w:tblPr>
        <w:tblW w:w="0" w:type="auto"/>
        <w:tblLayout w:type="fixed"/>
        <w:tblCellMar>
          <w:top w:w="80" w:type="dxa"/>
          <w:bottom w:w="40" w:type="dxa"/>
        </w:tblCellMar>
        <w:tblLook w:val="04A0" w:firstRow="1" w:lastRow="0" w:firstColumn="1" w:lastColumn="0" w:noHBand="0" w:noVBand="1"/>
      </w:tblPr>
      <w:tblGrid>
        <w:gridCol w:w="2040"/>
        <w:gridCol w:w="7320"/>
      </w:tblGrid>
      <w:tr w:rsidR="003505D1" w:rsidRPr="00C31181" w14:paraId="3F25A7F1" w14:textId="77777777" w:rsidTr="00D21CF5">
        <w:trPr>
          <w:cantSplit/>
        </w:trPr>
        <w:tc>
          <w:tcPr>
            <w:tcW w:w="2040" w:type="dxa"/>
            <w:tcBorders>
              <w:top w:val="nil"/>
              <w:left w:val="nil"/>
              <w:bottom w:val="single" w:sz="4" w:space="0" w:color="auto"/>
              <w:right w:val="nil"/>
            </w:tcBorders>
            <w:vAlign w:val="bottom"/>
            <w:hideMark/>
          </w:tcPr>
          <w:p w14:paraId="41667BA2" w14:textId="77777777" w:rsidR="003505D1" w:rsidRPr="00C31181" w:rsidRDefault="003505D1" w:rsidP="00D21CF5">
            <w:pPr>
              <w:spacing w:before="0"/>
              <w:jc w:val="center"/>
              <w:rPr>
                <w:b/>
              </w:rPr>
            </w:pPr>
            <w:r w:rsidRPr="00C31181">
              <w:rPr>
                <w:b/>
              </w:rPr>
              <w:t>Acronym</w:t>
            </w:r>
          </w:p>
        </w:tc>
        <w:tc>
          <w:tcPr>
            <w:tcW w:w="7320" w:type="dxa"/>
            <w:tcBorders>
              <w:top w:val="nil"/>
              <w:left w:val="nil"/>
              <w:bottom w:val="single" w:sz="4" w:space="0" w:color="auto"/>
              <w:right w:val="nil"/>
            </w:tcBorders>
            <w:tcMar>
              <w:left w:w="720" w:type="dxa"/>
            </w:tcMar>
            <w:hideMark/>
          </w:tcPr>
          <w:p w14:paraId="13A1BEE9" w14:textId="77777777" w:rsidR="003505D1" w:rsidRPr="00C31181" w:rsidRDefault="003505D1" w:rsidP="00D21CF5">
            <w:pPr>
              <w:spacing w:before="0"/>
              <w:rPr>
                <w:b/>
              </w:rPr>
            </w:pPr>
            <w:r w:rsidRPr="00C31181">
              <w:rPr>
                <w:b/>
              </w:rPr>
              <w:t>Full Name</w:t>
            </w:r>
          </w:p>
        </w:tc>
      </w:tr>
      <w:tr w:rsidR="003505D1" w:rsidRPr="004D7D13" w14:paraId="5BE2A28C" w14:textId="77777777" w:rsidTr="00D21CF5">
        <w:trPr>
          <w:cantSplit/>
        </w:trPr>
        <w:tc>
          <w:tcPr>
            <w:tcW w:w="2040" w:type="dxa"/>
            <w:tcBorders>
              <w:top w:val="single" w:sz="4" w:space="0" w:color="auto"/>
              <w:left w:val="nil"/>
              <w:right w:val="nil"/>
            </w:tcBorders>
          </w:tcPr>
          <w:p w14:paraId="22A8A457" w14:textId="77777777" w:rsidR="003505D1" w:rsidRPr="007474B0" w:rsidRDefault="003505D1" w:rsidP="00D21CF5">
            <w:pPr>
              <w:spacing w:before="0"/>
            </w:pPr>
            <w:r w:rsidRPr="007474B0">
              <w:t>ACIA</w:t>
            </w:r>
          </w:p>
        </w:tc>
        <w:tc>
          <w:tcPr>
            <w:tcW w:w="7320" w:type="dxa"/>
            <w:tcBorders>
              <w:top w:val="single" w:sz="4" w:space="0" w:color="auto"/>
              <w:left w:val="nil"/>
              <w:right w:val="nil"/>
            </w:tcBorders>
          </w:tcPr>
          <w:p w14:paraId="3AB564A3" w14:textId="77777777" w:rsidR="003505D1" w:rsidRPr="007474B0" w:rsidRDefault="003505D1" w:rsidP="00D21CF5">
            <w:pPr>
              <w:spacing w:before="0"/>
            </w:pPr>
            <w:r w:rsidRPr="007474B0">
              <w:t>Average Commercial Incentive Award</w:t>
            </w:r>
          </w:p>
        </w:tc>
      </w:tr>
      <w:tr w:rsidR="003505D1" w:rsidRPr="00A05E73" w14:paraId="69168726" w14:textId="77777777" w:rsidTr="00D21CF5">
        <w:trPr>
          <w:cantSplit/>
        </w:trPr>
        <w:tc>
          <w:tcPr>
            <w:tcW w:w="2040" w:type="dxa"/>
            <w:tcBorders>
              <w:top w:val="single" w:sz="4" w:space="0" w:color="auto"/>
              <w:left w:val="nil"/>
              <w:right w:val="nil"/>
            </w:tcBorders>
          </w:tcPr>
          <w:p w14:paraId="2082ACD4" w14:textId="77777777" w:rsidR="003505D1" w:rsidRPr="007474B0" w:rsidRDefault="003505D1" w:rsidP="00D21CF5">
            <w:pPr>
              <w:spacing w:before="0"/>
            </w:pPr>
            <w:r w:rsidRPr="007474B0">
              <w:t>ADT</w:t>
            </w:r>
          </w:p>
        </w:tc>
        <w:tc>
          <w:tcPr>
            <w:tcW w:w="7320" w:type="dxa"/>
            <w:tcBorders>
              <w:top w:val="single" w:sz="4" w:space="0" w:color="auto"/>
              <w:left w:val="nil"/>
              <w:right w:val="nil"/>
            </w:tcBorders>
          </w:tcPr>
          <w:p w14:paraId="502CFDEF" w14:textId="77777777" w:rsidR="003505D1" w:rsidRPr="007474B0" w:rsidRDefault="003505D1" w:rsidP="00D21CF5">
            <w:pPr>
              <w:spacing w:before="0"/>
            </w:pPr>
            <w:r w:rsidRPr="007474B0">
              <w:t>Admission, Discharge, Transfer</w:t>
            </w:r>
          </w:p>
        </w:tc>
      </w:tr>
      <w:tr w:rsidR="003505D1" w:rsidRPr="00A05E73" w14:paraId="0D509C10" w14:textId="77777777" w:rsidTr="00D21CF5">
        <w:trPr>
          <w:cantSplit/>
        </w:trPr>
        <w:tc>
          <w:tcPr>
            <w:tcW w:w="2040" w:type="dxa"/>
            <w:tcBorders>
              <w:top w:val="single" w:sz="4" w:space="0" w:color="auto"/>
              <w:left w:val="nil"/>
              <w:right w:val="nil"/>
            </w:tcBorders>
          </w:tcPr>
          <w:p w14:paraId="204BA808" w14:textId="77777777" w:rsidR="003505D1" w:rsidRPr="007474B0" w:rsidRDefault="003505D1" w:rsidP="00D21CF5">
            <w:pPr>
              <w:spacing w:before="0"/>
            </w:pPr>
            <w:r w:rsidRPr="007474B0">
              <w:t>AIM</w:t>
            </w:r>
          </w:p>
        </w:tc>
        <w:tc>
          <w:tcPr>
            <w:tcW w:w="7320" w:type="dxa"/>
            <w:tcBorders>
              <w:top w:val="single" w:sz="4" w:space="0" w:color="auto"/>
              <w:left w:val="nil"/>
              <w:right w:val="nil"/>
            </w:tcBorders>
          </w:tcPr>
          <w:p w14:paraId="1179EB9D" w14:textId="77777777" w:rsidR="003505D1" w:rsidRPr="007474B0" w:rsidRDefault="003505D1" w:rsidP="00D21CF5">
            <w:pPr>
              <w:spacing w:before="0"/>
            </w:pPr>
            <w:r w:rsidRPr="007474B0">
              <w:t>Alliance for Innovation on Mental Health</w:t>
            </w:r>
          </w:p>
        </w:tc>
      </w:tr>
      <w:tr w:rsidR="003505D1" w:rsidRPr="00A05E73" w14:paraId="2BCA3A0E" w14:textId="77777777" w:rsidTr="00D21CF5">
        <w:trPr>
          <w:cantSplit/>
        </w:trPr>
        <w:tc>
          <w:tcPr>
            <w:tcW w:w="2040" w:type="dxa"/>
            <w:tcBorders>
              <w:top w:val="single" w:sz="4" w:space="0" w:color="auto"/>
              <w:left w:val="nil"/>
              <w:right w:val="nil"/>
            </w:tcBorders>
          </w:tcPr>
          <w:p w14:paraId="687FC3DD" w14:textId="77777777" w:rsidR="003505D1" w:rsidRPr="007474B0" w:rsidRDefault="003505D1" w:rsidP="00D21CF5">
            <w:pPr>
              <w:spacing w:before="0"/>
            </w:pPr>
            <w:r w:rsidRPr="007474B0">
              <w:t>AMA-PCPI</w:t>
            </w:r>
          </w:p>
        </w:tc>
        <w:tc>
          <w:tcPr>
            <w:tcW w:w="7320" w:type="dxa"/>
            <w:tcBorders>
              <w:top w:val="single" w:sz="4" w:space="0" w:color="auto"/>
              <w:left w:val="nil"/>
              <w:right w:val="nil"/>
            </w:tcBorders>
          </w:tcPr>
          <w:p w14:paraId="0889DC04" w14:textId="77777777" w:rsidR="003505D1" w:rsidRPr="007474B0" w:rsidRDefault="003505D1" w:rsidP="00D21CF5">
            <w:pPr>
              <w:spacing w:before="0"/>
            </w:pPr>
            <w:r w:rsidRPr="007474B0">
              <w:t>American Medical Association Physician Consortium for Performance Improvement</w:t>
            </w:r>
          </w:p>
        </w:tc>
      </w:tr>
      <w:tr w:rsidR="003505D1" w:rsidRPr="00DC5933" w14:paraId="733CFB4A" w14:textId="77777777" w:rsidTr="00D21CF5">
        <w:trPr>
          <w:cantSplit/>
        </w:trPr>
        <w:tc>
          <w:tcPr>
            <w:tcW w:w="2040" w:type="dxa"/>
            <w:tcBorders>
              <w:top w:val="single" w:sz="4" w:space="0" w:color="auto"/>
              <w:left w:val="nil"/>
              <w:right w:val="nil"/>
            </w:tcBorders>
          </w:tcPr>
          <w:p w14:paraId="0821F232" w14:textId="77777777" w:rsidR="003505D1" w:rsidRPr="007474B0" w:rsidRDefault="003505D1" w:rsidP="00D21CF5">
            <w:pPr>
              <w:spacing w:before="0"/>
            </w:pPr>
            <w:r w:rsidRPr="005942CD">
              <w:t>AMB-CH</w:t>
            </w:r>
          </w:p>
        </w:tc>
        <w:tc>
          <w:tcPr>
            <w:tcW w:w="7320" w:type="dxa"/>
            <w:tcBorders>
              <w:top w:val="single" w:sz="4" w:space="0" w:color="auto"/>
              <w:left w:val="nil"/>
              <w:right w:val="nil"/>
            </w:tcBorders>
          </w:tcPr>
          <w:p w14:paraId="19552A1B" w14:textId="77777777" w:rsidR="003505D1" w:rsidRPr="00DC5933" w:rsidRDefault="003505D1" w:rsidP="00D21CF5">
            <w:pPr>
              <w:spacing w:before="0"/>
            </w:pPr>
            <w:r>
              <w:t>Ambulatory Care: Emergency Department Visits</w:t>
            </w:r>
          </w:p>
        </w:tc>
      </w:tr>
      <w:tr w:rsidR="003505D1" w14:paraId="32B6F98C" w14:textId="77777777" w:rsidTr="00D21CF5">
        <w:trPr>
          <w:cantSplit/>
        </w:trPr>
        <w:tc>
          <w:tcPr>
            <w:tcW w:w="2040" w:type="dxa"/>
            <w:tcBorders>
              <w:top w:val="single" w:sz="4" w:space="0" w:color="auto"/>
              <w:left w:val="nil"/>
              <w:right w:val="nil"/>
            </w:tcBorders>
          </w:tcPr>
          <w:p w14:paraId="0581298B" w14:textId="77777777" w:rsidR="003505D1" w:rsidRPr="007474B0" w:rsidRDefault="003505D1" w:rsidP="00D21CF5">
            <w:pPr>
              <w:spacing w:before="0"/>
            </w:pPr>
            <w:r w:rsidRPr="005942CD">
              <w:t>AMM</w:t>
            </w:r>
          </w:p>
        </w:tc>
        <w:tc>
          <w:tcPr>
            <w:tcW w:w="7320" w:type="dxa"/>
            <w:tcBorders>
              <w:top w:val="single" w:sz="4" w:space="0" w:color="auto"/>
              <w:left w:val="nil"/>
              <w:right w:val="nil"/>
            </w:tcBorders>
          </w:tcPr>
          <w:p w14:paraId="47235D16" w14:textId="77777777" w:rsidR="003505D1" w:rsidRDefault="003505D1" w:rsidP="00D21CF5">
            <w:pPr>
              <w:spacing w:before="0"/>
            </w:pPr>
            <w:r>
              <w:t xml:space="preserve">Antidepressant Medication Management </w:t>
            </w:r>
          </w:p>
        </w:tc>
      </w:tr>
      <w:tr w:rsidR="003505D1" w:rsidRPr="00DC5933" w14:paraId="6B861AC1" w14:textId="77777777" w:rsidTr="00D21CF5">
        <w:trPr>
          <w:cantSplit/>
        </w:trPr>
        <w:tc>
          <w:tcPr>
            <w:tcW w:w="2040" w:type="dxa"/>
            <w:tcBorders>
              <w:top w:val="single" w:sz="4" w:space="0" w:color="auto"/>
              <w:left w:val="nil"/>
              <w:right w:val="nil"/>
            </w:tcBorders>
          </w:tcPr>
          <w:p w14:paraId="3090408F" w14:textId="77777777" w:rsidR="003505D1" w:rsidRPr="007474B0" w:rsidRDefault="003505D1" w:rsidP="00D21CF5">
            <w:pPr>
              <w:spacing w:before="0"/>
            </w:pPr>
            <w:r w:rsidRPr="005942CD">
              <w:t>BMI</w:t>
            </w:r>
          </w:p>
        </w:tc>
        <w:tc>
          <w:tcPr>
            <w:tcW w:w="7320" w:type="dxa"/>
            <w:tcBorders>
              <w:top w:val="single" w:sz="4" w:space="0" w:color="auto"/>
              <w:left w:val="nil"/>
              <w:right w:val="nil"/>
            </w:tcBorders>
          </w:tcPr>
          <w:p w14:paraId="2909797B" w14:textId="77777777" w:rsidR="003505D1" w:rsidRPr="00DC5933" w:rsidRDefault="003505D1" w:rsidP="00D21CF5">
            <w:pPr>
              <w:spacing w:before="0"/>
            </w:pPr>
            <w:r>
              <w:t>Body Mass Index</w:t>
            </w:r>
          </w:p>
        </w:tc>
      </w:tr>
      <w:tr w:rsidR="003505D1" w14:paraId="530380E0" w14:textId="77777777" w:rsidTr="00D21CF5">
        <w:trPr>
          <w:cantSplit/>
        </w:trPr>
        <w:tc>
          <w:tcPr>
            <w:tcW w:w="2040" w:type="dxa"/>
            <w:tcBorders>
              <w:top w:val="single" w:sz="4" w:space="0" w:color="auto"/>
              <w:left w:val="nil"/>
              <w:right w:val="nil"/>
            </w:tcBorders>
          </w:tcPr>
          <w:p w14:paraId="12BD4B5D" w14:textId="77777777" w:rsidR="003505D1" w:rsidRPr="007474B0" w:rsidRDefault="003505D1" w:rsidP="00D21CF5">
            <w:pPr>
              <w:spacing w:before="0"/>
            </w:pPr>
            <w:r w:rsidRPr="005942CD">
              <w:t>CAHPS</w:t>
            </w:r>
            <w:r w:rsidRPr="007474B0">
              <w:t>®</w:t>
            </w:r>
          </w:p>
        </w:tc>
        <w:tc>
          <w:tcPr>
            <w:tcW w:w="7320" w:type="dxa"/>
            <w:tcBorders>
              <w:top w:val="single" w:sz="4" w:space="0" w:color="auto"/>
              <w:left w:val="nil"/>
              <w:right w:val="nil"/>
            </w:tcBorders>
          </w:tcPr>
          <w:p w14:paraId="0300DBF9" w14:textId="77777777" w:rsidR="003505D1" w:rsidRDefault="003505D1" w:rsidP="00D21CF5">
            <w:pPr>
              <w:spacing w:before="0"/>
            </w:pPr>
            <w:r>
              <w:t>Consumer Assessment of Healthcare Providers and Systems</w:t>
            </w:r>
          </w:p>
        </w:tc>
      </w:tr>
      <w:tr w:rsidR="003505D1" w14:paraId="77A1C9B2" w14:textId="77777777" w:rsidTr="00D21CF5">
        <w:trPr>
          <w:cantSplit/>
        </w:trPr>
        <w:tc>
          <w:tcPr>
            <w:tcW w:w="2040" w:type="dxa"/>
            <w:tcBorders>
              <w:top w:val="single" w:sz="4" w:space="0" w:color="auto"/>
              <w:left w:val="nil"/>
              <w:right w:val="nil"/>
            </w:tcBorders>
          </w:tcPr>
          <w:p w14:paraId="4873EBAA" w14:textId="77777777" w:rsidR="003505D1" w:rsidRPr="007474B0" w:rsidRDefault="003505D1" w:rsidP="00D21CF5">
            <w:pPr>
              <w:spacing w:before="0"/>
            </w:pPr>
            <w:r w:rsidRPr="005942CD">
              <w:t xml:space="preserve">CAUTI </w:t>
            </w:r>
          </w:p>
        </w:tc>
        <w:tc>
          <w:tcPr>
            <w:tcW w:w="7320" w:type="dxa"/>
            <w:tcBorders>
              <w:top w:val="single" w:sz="4" w:space="0" w:color="auto"/>
              <w:left w:val="nil"/>
              <w:right w:val="nil"/>
            </w:tcBorders>
          </w:tcPr>
          <w:p w14:paraId="2224C4E2" w14:textId="77777777" w:rsidR="003505D1" w:rsidRDefault="003505D1" w:rsidP="00D21CF5">
            <w:pPr>
              <w:spacing w:before="0"/>
            </w:pPr>
            <w:r>
              <w:t>Catheter-Associated Urinary Tract Infection</w:t>
            </w:r>
          </w:p>
        </w:tc>
      </w:tr>
      <w:tr w:rsidR="003505D1" w14:paraId="0D15D284" w14:textId="77777777" w:rsidTr="00D21CF5">
        <w:trPr>
          <w:cantSplit/>
        </w:trPr>
        <w:tc>
          <w:tcPr>
            <w:tcW w:w="2040" w:type="dxa"/>
            <w:tcBorders>
              <w:top w:val="single" w:sz="4" w:space="0" w:color="auto"/>
              <w:left w:val="nil"/>
              <w:right w:val="nil"/>
            </w:tcBorders>
          </w:tcPr>
          <w:p w14:paraId="14C3A954" w14:textId="77777777" w:rsidR="003505D1" w:rsidRPr="007474B0" w:rsidRDefault="003505D1" w:rsidP="00D21CF5">
            <w:pPr>
              <w:spacing w:before="0"/>
            </w:pPr>
            <w:r w:rsidRPr="005942CD">
              <w:t>CBP</w:t>
            </w:r>
          </w:p>
        </w:tc>
        <w:tc>
          <w:tcPr>
            <w:tcW w:w="7320" w:type="dxa"/>
            <w:tcBorders>
              <w:top w:val="single" w:sz="4" w:space="0" w:color="auto"/>
              <w:left w:val="nil"/>
              <w:right w:val="nil"/>
            </w:tcBorders>
          </w:tcPr>
          <w:p w14:paraId="3143B224" w14:textId="77777777" w:rsidR="003505D1" w:rsidRDefault="003505D1" w:rsidP="00D21CF5">
            <w:pPr>
              <w:spacing w:before="0"/>
            </w:pPr>
            <w:r>
              <w:t>Controlling High Blood Pressure</w:t>
            </w:r>
          </w:p>
        </w:tc>
      </w:tr>
      <w:tr w:rsidR="003505D1" w14:paraId="5921B390" w14:textId="77777777" w:rsidTr="00D21CF5">
        <w:trPr>
          <w:cantSplit/>
        </w:trPr>
        <w:tc>
          <w:tcPr>
            <w:tcW w:w="2040" w:type="dxa"/>
            <w:tcBorders>
              <w:top w:val="single" w:sz="4" w:space="0" w:color="auto"/>
              <w:left w:val="nil"/>
              <w:right w:val="nil"/>
            </w:tcBorders>
          </w:tcPr>
          <w:p w14:paraId="1939D7B7" w14:textId="77777777" w:rsidR="003505D1" w:rsidRPr="007474B0" w:rsidRDefault="003505D1" w:rsidP="00D21CF5">
            <w:pPr>
              <w:spacing w:before="0"/>
            </w:pPr>
            <w:r w:rsidRPr="005942CD">
              <w:t>CCBHC</w:t>
            </w:r>
          </w:p>
        </w:tc>
        <w:tc>
          <w:tcPr>
            <w:tcW w:w="7320" w:type="dxa"/>
            <w:tcBorders>
              <w:top w:val="single" w:sz="4" w:space="0" w:color="auto"/>
              <w:left w:val="nil"/>
              <w:right w:val="nil"/>
            </w:tcBorders>
          </w:tcPr>
          <w:p w14:paraId="5B153F13" w14:textId="77777777" w:rsidR="003505D1" w:rsidRDefault="003505D1" w:rsidP="00D21CF5">
            <w:pPr>
              <w:spacing w:before="0"/>
            </w:pPr>
            <w:r>
              <w:t>Certified Community Behavioral Health Clinic</w:t>
            </w:r>
          </w:p>
        </w:tc>
      </w:tr>
      <w:tr w:rsidR="003505D1" w14:paraId="45104916" w14:textId="77777777" w:rsidTr="00D21CF5">
        <w:trPr>
          <w:cantSplit/>
        </w:trPr>
        <w:tc>
          <w:tcPr>
            <w:tcW w:w="2040" w:type="dxa"/>
            <w:tcBorders>
              <w:top w:val="single" w:sz="4" w:space="0" w:color="auto"/>
              <w:left w:val="nil"/>
              <w:right w:val="nil"/>
            </w:tcBorders>
          </w:tcPr>
          <w:p w14:paraId="7CF27838" w14:textId="77777777" w:rsidR="003505D1" w:rsidRPr="007474B0" w:rsidRDefault="003505D1" w:rsidP="00D21CF5">
            <w:pPr>
              <w:spacing w:before="0"/>
            </w:pPr>
            <w:r w:rsidRPr="005942CD">
              <w:t>CDC</w:t>
            </w:r>
          </w:p>
        </w:tc>
        <w:tc>
          <w:tcPr>
            <w:tcW w:w="7320" w:type="dxa"/>
            <w:tcBorders>
              <w:top w:val="single" w:sz="4" w:space="0" w:color="auto"/>
              <w:left w:val="nil"/>
              <w:right w:val="nil"/>
            </w:tcBorders>
          </w:tcPr>
          <w:p w14:paraId="7CFB0589" w14:textId="77777777" w:rsidR="003505D1" w:rsidRDefault="003505D1" w:rsidP="00D21CF5">
            <w:pPr>
              <w:spacing w:before="0"/>
            </w:pPr>
            <w:r>
              <w:t xml:space="preserve">Centers for Disease Control and Prevention </w:t>
            </w:r>
          </w:p>
        </w:tc>
      </w:tr>
      <w:tr w:rsidR="003505D1" w14:paraId="29507F5F" w14:textId="77777777" w:rsidTr="00D21CF5">
        <w:trPr>
          <w:cantSplit/>
        </w:trPr>
        <w:tc>
          <w:tcPr>
            <w:tcW w:w="2040" w:type="dxa"/>
            <w:tcBorders>
              <w:top w:val="single" w:sz="4" w:space="0" w:color="auto"/>
              <w:left w:val="nil"/>
              <w:right w:val="nil"/>
            </w:tcBorders>
          </w:tcPr>
          <w:p w14:paraId="1CD0B5A0" w14:textId="77777777" w:rsidR="003505D1" w:rsidRPr="007474B0" w:rsidRDefault="003505D1" w:rsidP="00D21CF5">
            <w:pPr>
              <w:spacing w:before="0"/>
            </w:pPr>
            <w:r w:rsidRPr="005942CD">
              <w:t>CDI</w:t>
            </w:r>
          </w:p>
        </w:tc>
        <w:tc>
          <w:tcPr>
            <w:tcW w:w="7320" w:type="dxa"/>
            <w:tcBorders>
              <w:top w:val="single" w:sz="4" w:space="0" w:color="auto"/>
              <w:left w:val="nil"/>
              <w:right w:val="nil"/>
            </w:tcBorders>
          </w:tcPr>
          <w:p w14:paraId="0DD46C6E" w14:textId="77777777" w:rsidR="003505D1" w:rsidRDefault="003505D1" w:rsidP="00D21CF5">
            <w:pPr>
              <w:spacing w:before="0"/>
            </w:pPr>
            <w:r>
              <w:t xml:space="preserve">Clostridium Difficile Infection </w:t>
            </w:r>
          </w:p>
        </w:tc>
      </w:tr>
      <w:tr w:rsidR="003505D1" w14:paraId="334A2AB9" w14:textId="77777777" w:rsidTr="00D21CF5">
        <w:trPr>
          <w:cantSplit/>
        </w:trPr>
        <w:tc>
          <w:tcPr>
            <w:tcW w:w="2040" w:type="dxa"/>
            <w:tcBorders>
              <w:top w:val="single" w:sz="4" w:space="0" w:color="auto"/>
              <w:left w:val="nil"/>
              <w:right w:val="nil"/>
            </w:tcBorders>
          </w:tcPr>
          <w:p w14:paraId="103316F6" w14:textId="77777777" w:rsidR="003505D1" w:rsidRPr="007474B0" w:rsidRDefault="003505D1" w:rsidP="00D21CF5">
            <w:pPr>
              <w:spacing w:before="0"/>
            </w:pPr>
            <w:r w:rsidRPr="005942CD">
              <w:t>CHIP</w:t>
            </w:r>
          </w:p>
        </w:tc>
        <w:tc>
          <w:tcPr>
            <w:tcW w:w="7320" w:type="dxa"/>
            <w:tcBorders>
              <w:top w:val="single" w:sz="4" w:space="0" w:color="auto"/>
              <w:left w:val="nil"/>
              <w:right w:val="nil"/>
            </w:tcBorders>
          </w:tcPr>
          <w:p w14:paraId="13049EBB" w14:textId="77777777" w:rsidR="003505D1" w:rsidRDefault="003505D1" w:rsidP="00D21CF5">
            <w:pPr>
              <w:spacing w:before="0"/>
            </w:pPr>
            <w:r>
              <w:t>Children’s Health Insurance Program</w:t>
            </w:r>
          </w:p>
        </w:tc>
      </w:tr>
      <w:tr w:rsidR="003505D1" w14:paraId="00B82F46" w14:textId="77777777" w:rsidTr="00D21CF5">
        <w:trPr>
          <w:cantSplit/>
        </w:trPr>
        <w:tc>
          <w:tcPr>
            <w:tcW w:w="2040" w:type="dxa"/>
            <w:tcBorders>
              <w:top w:val="single" w:sz="4" w:space="0" w:color="auto"/>
              <w:left w:val="nil"/>
              <w:right w:val="nil"/>
            </w:tcBorders>
          </w:tcPr>
          <w:p w14:paraId="3F55DD4A" w14:textId="77777777" w:rsidR="003505D1" w:rsidRPr="007474B0" w:rsidRDefault="003505D1" w:rsidP="00D21CF5">
            <w:pPr>
              <w:spacing w:before="0"/>
            </w:pPr>
            <w:r w:rsidRPr="005942CD">
              <w:t>CHIRP</w:t>
            </w:r>
          </w:p>
        </w:tc>
        <w:tc>
          <w:tcPr>
            <w:tcW w:w="7320" w:type="dxa"/>
            <w:tcBorders>
              <w:top w:val="single" w:sz="4" w:space="0" w:color="auto"/>
              <w:left w:val="nil"/>
              <w:right w:val="nil"/>
            </w:tcBorders>
          </w:tcPr>
          <w:p w14:paraId="5C1730CE" w14:textId="77777777" w:rsidR="003505D1" w:rsidRDefault="003505D1" w:rsidP="00D21CF5">
            <w:pPr>
              <w:spacing w:before="0"/>
            </w:pPr>
            <w:r>
              <w:t>Comprehensive Hospital Increased Reimbursement Program</w:t>
            </w:r>
          </w:p>
        </w:tc>
      </w:tr>
      <w:tr w:rsidR="003505D1" w14:paraId="7E5FCC52" w14:textId="77777777" w:rsidTr="00D21CF5">
        <w:trPr>
          <w:cantSplit/>
        </w:trPr>
        <w:tc>
          <w:tcPr>
            <w:tcW w:w="2040" w:type="dxa"/>
            <w:tcBorders>
              <w:top w:val="single" w:sz="4" w:space="0" w:color="auto"/>
              <w:left w:val="nil"/>
              <w:right w:val="nil"/>
            </w:tcBorders>
          </w:tcPr>
          <w:p w14:paraId="34FA3B24" w14:textId="77777777" w:rsidR="003505D1" w:rsidRPr="007474B0" w:rsidRDefault="003505D1" w:rsidP="00D21CF5">
            <w:pPr>
              <w:spacing w:before="0"/>
            </w:pPr>
            <w:r w:rsidRPr="005942CD">
              <w:t>CHL</w:t>
            </w:r>
          </w:p>
        </w:tc>
        <w:tc>
          <w:tcPr>
            <w:tcW w:w="7320" w:type="dxa"/>
            <w:tcBorders>
              <w:top w:val="single" w:sz="4" w:space="0" w:color="auto"/>
              <w:left w:val="nil"/>
              <w:right w:val="nil"/>
            </w:tcBorders>
          </w:tcPr>
          <w:p w14:paraId="7EBB9C15" w14:textId="77777777" w:rsidR="003505D1" w:rsidRDefault="003505D1" w:rsidP="00D21CF5">
            <w:pPr>
              <w:spacing w:before="0"/>
            </w:pPr>
            <w:r>
              <w:t>Chlamydia Screening in Women</w:t>
            </w:r>
          </w:p>
        </w:tc>
      </w:tr>
      <w:tr w:rsidR="003505D1" w14:paraId="1D46CAAD" w14:textId="77777777" w:rsidTr="00D21CF5">
        <w:trPr>
          <w:cantSplit/>
        </w:trPr>
        <w:tc>
          <w:tcPr>
            <w:tcW w:w="2040" w:type="dxa"/>
            <w:tcBorders>
              <w:top w:val="single" w:sz="4" w:space="0" w:color="auto"/>
              <w:left w:val="nil"/>
              <w:right w:val="nil"/>
            </w:tcBorders>
          </w:tcPr>
          <w:p w14:paraId="3C2E6398" w14:textId="77777777" w:rsidR="003505D1" w:rsidRPr="007474B0" w:rsidRDefault="003505D1" w:rsidP="00D21CF5">
            <w:pPr>
              <w:spacing w:before="0"/>
            </w:pPr>
            <w:r w:rsidRPr="005942CD">
              <w:t>CHSPS</w:t>
            </w:r>
          </w:p>
        </w:tc>
        <w:tc>
          <w:tcPr>
            <w:tcW w:w="7320" w:type="dxa"/>
            <w:tcBorders>
              <w:top w:val="single" w:sz="4" w:space="0" w:color="auto"/>
              <w:left w:val="nil"/>
              <w:right w:val="nil"/>
            </w:tcBorders>
          </w:tcPr>
          <w:p w14:paraId="5AAF9728" w14:textId="77777777" w:rsidR="003505D1" w:rsidRDefault="003505D1" w:rsidP="00D21CF5">
            <w:pPr>
              <w:spacing w:before="0"/>
            </w:pPr>
            <w:r>
              <w:t>Children’s Hospitals’ Solutions for Patient Safety</w:t>
            </w:r>
          </w:p>
        </w:tc>
      </w:tr>
      <w:tr w:rsidR="003505D1" w14:paraId="71B36383" w14:textId="77777777" w:rsidTr="00D21CF5">
        <w:trPr>
          <w:cantSplit/>
        </w:trPr>
        <w:tc>
          <w:tcPr>
            <w:tcW w:w="2040" w:type="dxa"/>
            <w:tcBorders>
              <w:top w:val="single" w:sz="4" w:space="0" w:color="auto"/>
              <w:left w:val="nil"/>
              <w:right w:val="nil"/>
            </w:tcBorders>
          </w:tcPr>
          <w:p w14:paraId="3FDA0CF7" w14:textId="77777777" w:rsidR="003505D1" w:rsidRPr="007474B0" w:rsidRDefault="003505D1" w:rsidP="00D21CF5">
            <w:pPr>
              <w:spacing w:before="0"/>
            </w:pPr>
            <w:r w:rsidRPr="005942CD">
              <w:t>CIS</w:t>
            </w:r>
          </w:p>
        </w:tc>
        <w:tc>
          <w:tcPr>
            <w:tcW w:w="7320" w:type="dxa"/>
            <w:tcBorders>
              <w:top w:val="single" w:sz="4" w:space="0" w:color="auto"/>
              <w:left w:val="nil"/>
              <w:right w:val="nil"/>
            </w:tcBorders>
          </w:tcPr>
          <w:p w14:paraId="2B302976" w14:textId="77777777" w:rsidR="003505D1" w:rsidRDefault="003505D1" w:rsidP="00D21CF5">
            <w:pPr>
              <w:spacing w:before="0"/>
            </w:pPr>
            <w:r>
              <w:t>Childhood Immunization Status</w:t>
            </w:r>
          </w:p>
        </w:tc>
      </w:tr>
      <w:tr w:rsidR="003505D1" w14:paraId="640DEC4C" w14:textId="77777777" w:rsidTr="00D21CF5">
        <w:trPr>
          <w:cantSplit/>
        </w:trPr>
        <w:tc>
          <w:tcPr>
            <w:tcW w:w="2040" w:type="dxa"/>
            <w:tcBorders>
              <w:top w:val="single" w:sz="4" w:space="0" w:color="auto"/>
              <w:left w:val="nil"/>
              <w:right w:val="nil"/>
            </w:tcBorders>
          </w:tcPr>
          <w:p w14:paraId="09FD9C05" w14:textId="77777777" w:rsidR="003505D1" w:rsidRPr="007474B0" w:rsidRDefault="003505D1" w:rsidP="00D21CF5">
            <w:pPr>
              <w:spacing w:before="0"/>
            </w:pPr>
            <w:r w:rsidRPr="005942CD">
              <w:t>CLASBI</w:t>
            </w:r>
          </w:p>
        </w:tc>
        <w:tc>
          <w:tcPr>
            <w:tcW w:w="7320" w:type="dxa"/>
            <w:tcBorders>
              <w:top w:val="single" w:sz="4" w:space="0" w:color="auto"/>
              <w:left w:val="nil"/>
              <w:right w:val="nil"/>
            </w:tcBorders>
          </w:tcPr>
          <w:p w14:paraId="61571001" w14:textId="77777777" w:rsidR="003505D1" w:rsidRDefault="003505D1" w:rsidP="00D21CF5">
            <w:pPr>
              <w:spacing w:before="0"/>
            </w:pPr>
            <w:r>
              <w:t xml:space="preserve">Central Line Associated Bloodstream Infection </w:t>
            </w:r>
          </w:p>
        </w:tc>
      </w:tr>
      <w:tr w:rsidR="003505D1" w14:paraId="74C068A6" w14:textId="77777777" w:rsidTr="00D21CF5">
        <w:trPr>
          <w:cantSplit/>
        </w:trPr>
        <w:tc>
          <w:tcPr>
            <w:tcW w:w="2040" w:type="dxa"/>
            <w:tcBorders>
              <w:top w:val="single" w:sz="4" w:space="0" w:color="auto"/>
              <w:left w:val="nil"/>
              <w:right w:val="nil"/>
            </w:tcBorders>
          </w:tcPr>
          <w:p w14:paraId="052F1C12" w14:textId="77777777" w:rsidR="003505D1" w:rsidRPr="007474B0" w:rsidRDefault="003505D1" w:rsidP="00D21CF5">
            <w:pPr>
              <w:spacing w:before="0"/>
            </w:pPr>
            <w:r w:rsidRPr="005942CD">
              <w:t>CMHC</w:t>
            </w:r>
          </w:p>
        </w:tc>
        <w:tc>
          <w:tcPr>
            <w:tcW w:w="7320" w:type="dxa"/>
            <w:tcBorders>
              <w:top w:val="single" w:sz="4" w:space="0" w:color="auto"/>
              <w:left w:val="nil"/>
              <w:right w:val="nil"/>
            </w:tcBorders>
          </w:tcPr>
          <w:p w14:paraId="7B5486B3" w14:textId="77777777" w:rsidR="003505D1" w:rsidRDefault="003505D1" w:rsidP="00D21CF5">
            <w:pPr>
              <w:spacing w:before="0"/>
            </w:pPr>
            <w:r>
              <w:t>Community Mental Health Center</w:t>
            </w:r>
          </w:p>
        </w:tc>
      </w:tr>
      <w:tr w:rsidR="003505D1" w14:paraId="7F096101" w14:textId="77777777" w:rsidTr="00D21CF5">
        <w:trPr>
          <w:cantSplit/>
        </w:trPr>
        <w:tc>
          <w:tcPr>
            <w:tcW w:w="2040" w:type="dxa"/>
            <w:tcBorders>
              <w:top w:val="single" w:sz="4" w:space="0" w:color="auto"/>
              <w:left w:val="nil"/>
              <w:right w:val="nil"/>
            </w:tcBorders>
          </w:tcPr>
          <w:p w14:paraId="147BB09A" w14:textId="77777777" w:rsidR="003505D1" w:rsidRPr="007474B0" w:rsidRDefault="003505D1" w:rsidP="00D21CF5">
            <w:pPr>
              <w:spacing w:before="0"/>
            </w:pPr>
            <w:r w:rsidRPr="005942CD">
              <w:t>CMS</w:t>
            </w:r>
          </w:p>
        </w:tc>
        <w:tc>
          <w:tcPr>
            <w:tcW w:w="7320" w:type="dxa"/>
            <w:tcBorders>
              <w:top w:val="single" w:sz="4" w:space="0" w:color="auto"/>
              <w:left w:val="nil"/>
              <w:right w:val="nil"/>
            </w:tcBorders>
          </w:tcPr>
          <w:p w14:paraId="6832C701" w14:textId="77777777" w:rsidR="003505D1" w:rsidRDefault="003505D1" w:rsidP="00D21CF5">
            <w:pPr>
              <w:spacing w:before="0"/>
            </w:pPr>
            <w:r>
              <w:t>Centers for Medicare and Medicaid Services</w:t>
            </w:r>
          </w:p>
        </w:tc>
      </w:tr>
      <w:tr w:rsidR="003505D1" w14:paraId="3FBA5E7E" w14:textId="77777777" w:rsidTr="00D21CF5">
        <w:trPr>
          <w:cantSplit/>
        </w:trPr>
        <w:tc>
          <w:tcPr>
            <w:tcW w:w="2040" w:type="dxa"/>
            <w:tcBorders>
              <w:top w:val="single" w:sz="4" w:space="0" w:color="auto"/>
              <w:left w:val="nil"/>
              <w:right w:val="nil"/>
            </w:tcBorders>
          </w:tcPr>
          <w:p w14:paraId="25DB55EE" w14:textId="77777777" w:rsidR="003505D1" w:rsidRPr="007474B0" w:rsidRDefault="003505D1" w:rsidP="00D21CF5">
            <w:pPr>
              <w:spacing w:before="0"/>
            </w:pPr>
            <w:r w:rsidRPr="005942CD">
              <w:t>CY</w:t>
            </w:r>
          </w:p>
        </w:tc>
        <w:tc>
          <w:tcPr>
            <w:tcW w:w="7320" w:type="dxa"/>
            <w:tcBorders>
              <w:top w:val="single" w:sz="4" w:space="0" w:color="auto"/>
              <w:left w:val="nil"/>
              <w:right w:val="nil"/>
            </w:tcBorders>
          </w:tcPr>
          <w:p w14:paraId="6A7C5AF5" w14:textId="77777777" w:rsidR="003505D1" w:rsidRDefault="003505D1" w:rsidP="00D21CF5">
            <w:pPr>
              <w:spacing w:before="0"/>
            </w:pPr>
            <w:r>
              <w:t>Calendar Year</w:t>
            </w:r>
          </w:p>
        </w:tc>
      </w:tr>
      <w:tr w:rsidR="003505D1" w14:paraId="1210E4CB" w14:textId="77777777" w:rsidTr="00D21CF5">
        <w:trPr>
          <w:cantSplit/>
        </w:trPr>
        <w:tc>
          <w:tcPr>
            <w:tcW w:w="2040" w:type="dxa"/>
            <w:tcBorders>
              <w:top w:val="single" w:sz="4" w:space="0" w:color="auto"/>
              <w:left w:val="nil"/>
              <w:right w:val="nil"/>
            </w:tcBorders>
          </w:tcPr>
          <w:p w14:paraId="6BC7DA6B" w14:textId="77777777" w:rsidR="003505D1" w:rsidRPr="007474B0" w:rsidRDefault="003505D1" w:rsidP="00D21CF5">
            <w:pPr>
              <w:spacing w:before="0"/>
            </w:pPr>
            <w:r w:rsidRPr="005942CD">
              <w:t>DPPs</w:t>
            </w:r>
          </w:p>
        </w:tc>
        <w:tc>
          <w:tcPr>
            <w:tcW w:w="7320" w:type="dxa"/>
            <w:tcBorders>
              <w:top w:val="single" w:sz="4" w:space="0" w:color="auto"/>
              <w:left w:val="nil"/>
              <w:right w:val="nil"/>
            </w:tcBorders>
          </w:tcPr>
          <w:p w14:paraId="6D13221F" w14:textId="77777777" w:rsidR="003505D1" w:rsidRDefault="003505D1" w:rsidP="00D21CF5">
            <w:pPr>
              <w:spacing w:before="0"/>
            </w:pPr>
            <w:r>
              <w:t>Directed Payment Programs</w:t>
            </w:r>
          </w:p>
        </w:tc>
      </w:tr>
      <w:tr w:rsidR="003505D1" w14:paraId="735312A1" w14:textId="77777777" w:rsidTr="00D21CF5">
        <w:trPr>
          <w:cantSplit/>
        </w:trPr>
        <w:tc>
          <w:tcPr>
            <w:tcW w:w="2040" w:type="dxa"/>
            <w:tcBorders>
              <w:top w:val="single" w:sz="4" w:space="0" w:color="auto"/>
              <w:left w:val="nil"/>
              <w:right w:val="nil"/>
            </w:tcBorders>
          </w:tcPr>
          <w:p w14:paraId="2D25F805" w14:textId="77777777" w:rsidR="003505D1" w:rsidRPr="007474B0" w:rsidRDefault="003505D1" w:rsidP="00D21CF5">
            <w:pPr>
              <w:spacing w:before="0"/>
            </w:pPr>
            <w:r w:rsidRPr="005942CD">
              <w:t>DPP BHS</w:t>
            </w:r>
          </w:p>
        </w:tc>
        <w:tc>
          <w:tcPr>
            <w:tcW w:w="7320" w:type="dxa"/>
            <w:tcBorders>
              <w:top w:val="single" w:sz="4" w:space="0" w:color="auto"/>
              <w:left w:val="nil"/>
              <w:right w:val="nil"/>
            </w:tcBorders>
          </w:tcPr>
          <w:p w14:paraId="24A89B1B" w14:textId="77777777" w:rsidR="003505D1" w:rsidRDefault="003505D1" w:rsidP="00D21CF5">
            <w:pPr>
              <w:spacing w:before="0"/>
            </w:pPr>
            <w:r w:rsidRPr="001F1E53">
              <w:t>Directed Payment Program for Behavioral Health Services</w:t>
            </w:r>
          </w:p>
        </w:tc>
      </w:tr>
      <w:tr w:rsidR="003505D1" w:rsidRPr="001F1E53" w14:paraId="6B6AB6C9" w14:textId="77777777" w:rsidTr="00D21CF5">
        <w:trPr>
          <w:cantSplit/>
        </w:trPr>
        <w:tc>
          <w:tcPr>
            <w:tcW w:w="2040" w:type="dxa"/>
            <w:tcBorders>
              <w:top w:val="single" w:sz="4" w:space="0" w:color="auto"/>
              <w:left w:val="nil"/>
              <w:right w:val="nil"/>
            </w:tcBorders>
          </w:tcPr>
          <w:p w14:paraId="54FE90B1" w14:textId="77777777" w:rsidR="003505D1" w:rsidRPr="007474B0" w:rsidRDefault="003505D1" w:rsidP="00D21CF5">
            <w:pPr>
              <w:spacing w:before="0"/>
            </w:pPr>
            <w:r w:rsidRPr="005942CD">
              <w:lastRenderedPageBreak/>
              <w:t>DSRIP</w:t>
            </w:r>
          </w:p>
        </w:tc>
        <w:tc>
          <w:tcPr>
            <w:tcW w:w="7320" w:type="dxa"/>
            <w:tcBorders>
              <w:top w:val="single" w:sz="4" w:space="0" w:color="auto"/>
              <w:left w:val="nil"/>
              <w:right w:val="nil"/>
            </w:tcBorders>
          </w:tcPr>
          <w:p w14:paraId="4501A6D9" w14:textId="77777777" w:rsidR="003505D1" w:rsidRPr="001F1E53" w:rsidRDefault="003505D1" w:rsidP="00D21CF5">
            <w:pPr>
              <w:spacing w:before="0"/>
            </w:pPr>
            <w:r>
              <w:t xml:space="preserve">Delivery System Reform Incentive Payment </w:t>
            </w:r>
          </w:p>
        </w:tc>
      </w:tr>
      <w:tr w:rsidR="003505D1" w14:paraId="652E2647" w14:textId="77777777" w:rsidTr="00D21CF5">
        <w:trPr>
          <w:cantSplit/>
        </w:trPr>
        <w:tc>
          <w:tcPr>
            <w:tcW w:w="2040" w:type="dxa"/>
            <w:tcBorders>
              <w:top w:val="single" w:sz="4" w:space="0" w:color="auto"/>
              <w:left w:val="nil"/>
              <w:right w:val="nil"/>
            </w:tcBorders>
          </w:tcPr>
          <w:p w14:paraId="77F322B2" w14:textId="77777777" w:rsidR="003505D1" w:rsidRPr="007474B0" w:rsidRDefault="003505D1" w:rsidP="00D21CF5">
            <w:pPr>
              <w:spacing w:before="0"/>
            </w:pPr>
            <w:r w:rsidRPr="005942CD">
              <w:t>DTA</w:t>
            </w:r>
          </w:p>
        </w:tc>
        <w:tc>
          <w:tcPr>
            <w:tcW w:w="7320" w:type="dxa"/>
            <w:tcBorders>
              <w:top w:val="single" w:sz="4" w:space="0" w:color="auto"/>
              <w:left w:val="nil"/>
              <w:right w:val="nil"/>
            </w:tcBorders>
          </w:tcPr>
          <w:p w14:paraId="4586F33C" w14:textId="77777777" w:rsidR="003505D1" w:rsidRDefault="003505D1" w:rsidP="00D21CF5">
            <w:pPr>
              <w:spacing w:before="0"/>
            </w:pPr>
            <w:r>
              <w:t xml:space="preserve">Descriptive Trend Analysis </w:t>
            </w:r>
          </w:p>
        </w:tc>
      </w:tr>
      <w:tr w:rsidR="003505D1" w14:paraId="0CC42178" w14:textId="77777777" w:rsidTr="00D21CF5">
        <w:trPr>
          <w:cantSplit/>
        </w:trPr>
        <w:tc>
          <w:tcPr>
            <w:tcW w:w="2040" w:type="dxa"/>
            <w:tcBorders>
              <w:top w:val="single" w:sz="4" w:space="0" w:color="auto"/>
              <w:left w:val="nil"/>
              <w:right w:val="nil"/>
            </w:tcBorders>
          </w:tcPr>
          <w:p w14:paraId="367F57B2" w14:textId="77777777" w:rsidR="003505D1" w:rsidRPr="007474B0" w:rsidRDefault="003505D1" w:rsidP="00D21CF5">
            <w:pPr>
              <w:spacing w:before="0"/>
            </w:pPr>
            <w:r w:rsidRPr="005942CD">
              <w:t>ED</w:t>
            </w:r>
          </w:p>
        </w:tc>
        <w:tc>
          <w:tcPr>
            <w:tcW w:w="7320" w:type="dxa"/>
            <w:tcBorders>
              <w:top w:val="single" w:sz="4" w:space="0" w:color="auto"/>
              <w:left w:val="nil"/>
              <w:right w:val="nil"/>
            </w:tcBorders>
          </w:tcPr>
          <w:p w14:paraId="4E5422B4" w14:textId="77777777" w:rsidR="003505D1" w:rsidRDefault="003505D1" w:rsidP="00D21CF5">
            <w:pPr>
              <w:spacing w:before="0"/>
            </w:pPr>
            <w:r>
              <w:t xml:space="preserve">Emergency Department </w:t>
            </w:r>
          </w:p>
        </w:tc>
      </w:tr>
      <w:tr w:rsidR="003505D1" w14:paraId="5F2C05EB" w14:textId="77777777" w:rsidTr="00D21CF5">
        <w:trPr>
          <w:cantSplit/>
        </w:trPr>
        <w:tc>
          <w:tcPr>
            <w:tcW w:w="2040" w:type="dxa"/>
            <w:tcBorders>
              <w:top w:val="single" w:sz="4" w:space="0" w:color="auto"/>
              <w:left w:val="nil"/>
              <w:right w:val="nil"/>
            </w:tcBorders>
          </w:tcPr>
          <w:p w14:paraId="5B44B669" w14:textId="77777777" w:rsidR="003505D1" w:rsidRPr="007474B0" w:rsidRDefault="003505D1" w:rsidP="00D21CF5">
            <w:pPr>
              <w:spacing w:before="0"/>
            </w:pPr>
            <w:r w:rsidRPr="005942CD">
              <w:t>EDEN</w:t>
            </w:r>
          </w:p>
        </w:tc>
        <w:tc>
          <w:tcPr>
            <w:tcW w:w="7320" w:type="dxa"/>
            <w:tcBorders>
              <w:top w:val="single" w:sz="4" w:space="0" w:color="auto"/>
              <w:left w:val="nil"/>
              <w:right w:val="nil"/>
            </w:tcBorders>
          </w:tcPr>
          <w:p w14:paraId="7616AE5C" w14:textId="77777777" w:rsidR="003505D1" w:rsidRDefault="003505D1" w:rsidP="00D21CF5">
            <w:pPr>
              <w:spacing w:before="0"/>
            </w:pPr>
            <w:r>
              <w:t xml:space="preserve">Emergency Department Encounter Notification </w:t>
            </w:r>
          </w:p>
        </w:tc>
      </w:tr>
      <w:tr w:rsidR="003505D1" w14:paraId="45EEF4A6" w14:textId="77777777" w:rsidTr="00D21CF5">
        <w:trPr>
          <w:cantSplit/>
        </w:trPr>
        <w:tc>
          <w:tcPr>
            <w:tcW w:w="2040" w:type="dxa"/>
            <w:tcBorders>
              <w:top w:val="single" w:sz="4" w:space="0" w:color="auto"/>
              <w:left w:val="nil"/>
              <w:right w:val="nil"/>
            </w:tcBorders>
          </w:tcPr>
          <w:p w14:paraId="36EBE402" w14:textId="77777777" w:rsidR="003505D1" w:rsidRPr="007474B0" w:rsidRDefault="003505D1" w:rsidP="00D21CF5">
            <w:pPr>
              <w:spacing w:before="0"/>
            </w:pPr>
            <w:r>
              <w:t>EHR</w:t>
            </w:r>
          </w:p>
        </w:tc>
        <w:tc>
          <w:tcPr>
            <w:tcW w:w="7320" w:type="dxa"/>
            <w:tcBorders>
              <w:top w:val="single" w:sz="4" w:space="0" w:color="auto"/>
              <w:left w:val="nil"/>
              <w:right w:val="nil"/>
            </w:tcBorders>
          </w:tcPr>
          <w:p w14:paraId="12970030" w14:textId="77777777" w:rsidR="003505D1" w:rsidRDefault="003505D1" w:rsidP="00D21CF5">
            <w:pPr>
              <w:spacing w:before="0"/>
            </w:pPr>
            <w:r>
              <w:t>Electronic Health Record</w:t>
            </w:r>
          </w:p>
        </w:tc>
      </w:tr>
      <w:tr w:rsidR="003505D1" w14:paraId="30264ED4" w14:textId="77777777" w:rsidTr="00D21CF5">
        <w:trPr>
          <w:cantSplit/>
        </w:trPr>
        <w:tc>
          <w:tcPr>
            <w:tcW w:w="2040" w:type="dxa"/>
            <w:tcBorders>
              <w:top w:val="single" w:sz="4" w:space="0" w:color="auto"/>
              <w:left w:val="nil"/>
              <w:right w:val="nil"/>
            </w:tcBorders>
          </w:tcPr>
          <w:p w14:paraId="7B2C5B85" w14:textId="77777777" w:rsidR="003505D1" w:rsidRPr="007474B0" w:rsidRDefault="003505D1" w:rsidP="00D21CF5">
            <w:pPr>
              <w:spacing w:before="0"/>
            </w:pPr>
            <w:r w:rsidRPr="005942CD">
              <w:t>EQRO</w:t>
            </w:r>
          </w:p>
        </w:tc>
        <w:tc>
          <w:tcPr>
            <w:tcW w:w="7320" w:type="dxa"/>
            <w:tcBorders>
              <w:top w:val="single" w:sz="4" w:space="0" w:color="auto"/>
              <w:left w:val="nil"/>
              <w:right w:val="nil"/>
            </w:tcBorders>
          </w:tcPr>
          <w:p w14:paraId="6FBFE7A3" w14:textId="77777777" w:rsidR="003505D1" w:rsidRDefault="003505D1" w:rsidP="00D21CF5">
            <w:pPr>
              <w:spacing w:before="0"/>
            </w:pPr>
            <w:r>
              <w:t>External Quality Review Organization</w:t>
            </w:r>
          </w:p>
        </w:tc>
      </w:tr>
      <w:tr w:rsidR="003505D1" w14:paraId="684FDDA0" w14:textId="77777777" w:rsidTr="00D21CF5">
        <w:trPr>
          <w:cantSplit/>
        </w:trPr>
        <w:tc>
          <w:tcPr>
            <w:tcW w:w="2040" w:type="dxa"/>
            <w:tcBorders>
              <w:top w:val="single" w:sz="4" w:space="0" w:color="auto"/>
              <w:left w:val="nil"/>
              <w:right w:val="nil"/>
            </w:tcBorders>
          </w:tcPr>
          <w:p w14:paraId="48AAE32C" w14:textId="77777777" w:rsidR="003505D1" w:rsidRPr="007474B0" w:rsidRDefault="003505D1" w:rsidP="00D21CF5">
            <w:pPr>
              <w:spacing w:before="0"/>
            </w:pPr>
            <w:r w:rsidRPr="005942CD">
              <w:t>FUM</w:t>
            </w:r>
          </w:p>
        </w:tc>
        <w:tc>
          <w:tcPr>
            <w:tcW w:w="7320" w:type="dxa"/>
            <w:tcBorders>
              <w:top w:val="single" w:sz="4" w:space="0" w:color="auto"/>
              <w:left w:val="nil"/>
              <w:right w:val="nil"/>
            </w:tcBorders>
          </w:tcPr>
          <w:p w14:paraId="5ED9E5C0" w14:textId="77777777" w:rsidR="003505D1" w:rsidRDefault="003505D1" w:rsidP="00D21CF5">
            <w:pPr>
              <w:spacing w:before="0"/>
            </w:pPr>
            <w:r>
              <w:t>Follow-up after Mental Illness</w:t>
            </w:r>
          </w:p>
        </w:tc>
      </w:tr>
      <w:tr w:rsidR="003505D1" w14:paraId="7905C9D4" w14:textId="77777777" w:rsidTr="00D21CF5">
        <w:trPr>
          <w:cantSplit/>
        </w:trPr>
        <w:tc>
          <w:tcPr>
            <w:tcW w:w="2040" w:type="dxa"/>
            <w:tcBorders>
              <w:top w:val="single" w:sz="4" w:space="0" w:color="auto"/>
              <w:left w:val="nil"/>
              <w:right w:val="nil"/>
            </w:tcBorders>
          </w:tcPr>
          <w:p w14:paraId="5AF62C06" w14:textId="77777777" w:rsidR="003505D1" w:rsidRPr="007474B0" w:rsidRDefault="003505D1" w:rsidP="00D21CF5">
            <w:pPr>
              <w:spacing w:before="0"/>
            </w:pPr>
            <w:r w:rsidRPr="005942CD">
              <w:t>HbA1c</w:t>
            </w:r>
          </w:p>
        </w:tc>
        <w:tc>
          <w:tcPr>
            <w:tcW w:w="7320" w:type="dxa"/>
            <w:tcBorders>
              <w:top w:val="single" w:sz="4" w:space="0" w:color="auto"/>
              <w:left w:val="nil"/>
              <w:right w:val="nil"/>
            </w:tcBorders>
          </w:tcPr>
          <w:p w14:paraId="3103C769" w14:textId="77777777" w:rsidR="003505D1" w:rsidRDefault="003505D1" w:rsidP="00D21CF5">
            <w:pPr>
              <w:spacing w:before="0"/>
            </w:pPr>
            <w:r>
              <w:t>Hemoglobin A1c</w:t>
            </w:r>
          </w:p>
        </w:tc>
      </w:tr>
      <w:tr w:rsidR="003505D1" w14:paraId="0FA991D1" w14:textId="77777777" w:rsidTr="00D21CF5">
        <w:trPr>
          <w:cantSplit/>
        </w:trPr>
        <w:tc>
          <w:tcPr>
            <w:tcW w:w="2040" w:type="dxa"/>
            <w:tcBorders>
              <w:top w:val="single" w:sz="4" w:space="0" w:color="auto"/>
              <w:left w:val="nil"/>
              <w:right w:val="nil"/>
            </w:tcBorders>
          </w:tcPr>
          <w:p w14:paraId="6E1CBD2E" w14:textId="77777777" w:rsidR="003505D1" w:rsidRPr="007474B0" w:rsidRDefault="003505D1" w:rsidP="00D21CF5">
            <w:pPr>
              <w:spacing w:before="0"/>
            </w:pPr>
            <w:r w:rsidRPr="005942CD">
              <w:t>HIE</w:t>
            </w:r>
          </w:p>
        </w:tc>
        <w:tc>
          <w:tcPr>
            <w:tcW w:w="7320" w:type="dxa"/>
            <w:tcBorders>
              <w:top w:val="single" w:sz="4" w:space="0" w:color="auto"/>
              <w:left w:val="nil"/>
              <w:right w:val="nil"/>
            </w:tcBorders>
          </w:tcPr>
          <w:p w14:paraId="5F926E97" w14:textId="77777777" w:rsidR="003505D1" w:rsidRDefault="003505D1" w:rsidP="00D21CF5">
            <w:pPr>
              <w:spacing w:before="0"/>
            </w:pPr>
            <w:r>
              <w:t>Health Information Exchange</w:t>
            </w:r>
          </w:p>
        </w:tc>
      </w:tr>
      <w:tr w:rsidR="003505D1" w14:paraId="70FFF8C6" w14:textId="77777777" w:rsidTr="00D21CF5">
        <w:trPr>
          <w:cantSplit/>
        </w:trPr>
        <w:tc>
          <w:tcPr>
            <w:tcW w:w="2040" w:type="dxa"/>
            <w:tcBorders>
              <w:top w:val="single" w:sz="4" w:space="0" w:color="auto"/>
              <w:left w:val="nil"/>
              <w:right w:val="nil"/>
            </w:tcBorders>
          </w:tcPr>
          <w:p w14:paraId="774BB52C" w14:textId="77777777" w:rsidR="003505D1" w:rsidRPr="007474B0" w:rsidRDefault="003505D1" w:rsidP="00D21CF5">
            <w:pPr>
              <w:spacing w:before="0"/>
            </w:pPr>
            <w:r w:rsidRPr="005942CD">
              <w:t>HEDIS</w:t>
            </w:r>
          </w:p>
        </w:tc>
        <w:tc>
          <w:tcPr>
            <w:tcW w:w="7320" w:type="dxa"/>
            <w:tcBorders>
              <w:top w:val="single" w:sz="4" w:space="0" w:color="auto"/>
              <w:left w:val="nil"/>
              <w:right w:val="nil"/>
            </w:tcBorders>
          </w:tcPr>
          <w:p w14:paraId="2E72464E" w14:textId="77777777" w:rsidR="003505D1" w:rsidRDefault="003505D1" w:rsidP="00D21CF5">
            <w:pPr>
              <w:spacing w:before="0"/>
            </w:pPr>
            <w:r>
              <w:t>Healthcare Effectiveness Data and Information Set</w:t>
            </w:r>
          </w:p>
        </w:tc>
      </w:tr>
      <w:tr w:rsidR="003505D1" w14:paraId="488F7DD8" w14:textId="77777777" w:rsidTr="00D21CF5">
        <w:trPr>
          <w:cantSplit/>
        </w:trPr>
        <w:tc>
          <w:tcPr>
            <w:tcW w:w="2040" w:type="dxa"/>
            <w:tcBorders>
              <w:top w:val="single" w:sz="4" w:space="0" w:color="auto"/>
              <w:left w:val="nil"/>
              <w:right w:val="nil"/>
            </w:tcBorders>
          </w:tcPr>
          <w:p w14:paraId="26F7A6FD" w14:textId="77777777" w:rsidR="003505D1" w:rsidRPr="007474B0" w:rsidRDefault="003505D1" w:rsidP="00D21CF5">
            <w:pPr>
              <w:spacing w:before="0"/>
            </w:pPr>
            <w:r w:rsidRPr="005942CD">
              <w:t>HHSC</w:t>
            </w:r>
          </w:p>
        </w:tc>
        <w:tc>
          <w:tcPr>
            <w:tcW w:w="7320" w:type="dxa"/>
            <w:tcBorders>
              <w:top w:val="single" w:sz="4" w:space="0" w:color="auto"/>
              <w:left w:val="nil"/>
              <w:right w:val="nil"/>
            </w:tcBorders>
          </w:tcPr>
          <w:p w14:paraId="05CDF07C" w14:textId="77777777" w:rsidR="003505D1" w:rsidRDefault="003505D1" w:rsidP="00D21CF5">
            <w:pPr>
              <w:spacing w:before="0"/>
            </w:pPr>
            <w:r>
              <w:t>Texas Health and Human Services Commission</w:t>
            </w:r>
          </w:p>
        </w:tc>
      </w:tr>
      <w:tr w:rsidR="003505D1" w14:paraId="5FBF849D" w14:textId="77777777" w:rsidTr="00D21CF5">
        <w:trPr>
          <w:cantSplit/>
        </w:trPr>
        <w:tc>
          <w:tcPr>
            <w:tcW w:w="2040" w:type="dxa"/>
            <w:tcBorders>
              <w:top w:val="single" w:sz="4" w:space="0" w:color="auto"/>
              <w:left w:val="nil"/>
              <w:right w:val="nil"/>
            </w:tcBorders>
          </w:tcPr>
          <w:p w14:paraId="43DB952B" w14:textId="77777777" w:rsidR="003505D1" w:rsidRPr="007474B0" w:rsidRDefault="003505D1" w:rsidP="00D21CF5">
            <w:pPr>
              <w:spacing w:before="0"/>
            </w:pPr>
            <w:r w:rsidRPr="005942CD">
              <w:t>HRI</w:t>
            </w:r>
          </w:p>
        </w:tc>
        <w:tc>
          <w:tcPr>
            <w:tcW w:w="7320" w:type="dxa"/>
            <w:tcBorders>
              <w:top w:val="single" w:sz="4" w:space="0" w:color="auto"/>
              <w:left w:val="nil"/>
              <w:right w:val="nil"/>
            </w:tcBorders>
          </w:tcPr>
          <w:p w14:paraId="59F67A52" w14:textId="77777777" w:rsidR="003505D1" w:rsidRDefault="003505D1" w:rsidP="00D21CF5">
            <w:pPr>
              <w:spacing w:before="0"/>
            </w:pPr>
            <w:r>
              <w:t xml:space="preserve">Health-Related Institution </w:t>
            </w:r>
          </w:p>
        </w:tc>
      </w:tr>
      <w:tr w:rsidR="003505D1" w14:paraId="5C21F84C" w14:textId="77777777" w:rsidTr="00D21CF5">
        <w:trPr>
          <w:cantSplit/>
        </w:trPr>
        <w:tc>
          <w:tcPr>
            <w:tcW w:w="2040" w:type="dxa"/>
            <w:tcBorders>
              <w:top w:val="single" w:sz="4" w:space="0" w:color="auto"/>
              <w:left w:val="nil"/>
              <w:right w:val="nil"/>
            </w:tcBorders>
          </w:tcPr>
          <w:p w14:paraId="514F594B" w14:textId="77777777" w:rsidR="003505D1" w:rsidRPr="007474B0" w:rsidRDefault="003505D1" w:rsidP="00D21CF5">
            <w:pPr>
              <w:spacing w:before="0"/>
            </w:pPr>
            <w:r w:rsidRPr="005942CD">
              <w:t>IET</w:t>
            </w:r>
          </w:p>
        </w:tc>
        <w:tc>
          <w:tcPr>
            <w:tcW w:w="7320" w:type="dxa"/>
            <w:tcBorders>
              <w:top w:val="single" w:sz="4" w:space="0" w:color="auto"/>
              <w:left w:val="nil"/>
              <w:right w:val="nil"/>
            </w:tcBorders>
          </w:tcPr>
          <w:p w14:paraId="6C217F6A" w14:textId="77777777" w:rsidR="003505D1" w:rsidRDefault="003505D1" w:rsidP="00D21CF5">
            <w:pPr>
              <w:spacing w:before="0"/>
            </w:pPr>
            <w:r>
              <w:t xml:space="preserve">Initiation and Engagement of Alcohol and other Drug Abuse or Dependence Treatment </w:t>
            </w:r>
          </w:p>
        </w:tc>
      </w:tr>
      <w:tr w:rsidR="003505D1" w14:paraId="25F373DD" w14:textId="77777777" w:rsidTr="00D21CF5">
        <w:trPr>
          <w:cantSplit/>
        </w:trPr>
        <w:tc>
          <w:tcPr>
            <w:tcW w:w="2040" w:type="dxa"/>
            <w:tcBorders>
              <w:top w:val="single" w:sz="4" w:space="0" w:color="auto"/>
              <w:left w:val="nil"/>
              <w:right w:val="nil"/>
            </w:tcBorders>
          </w:tcPr>
          <w:p w14:paraId="1E3F5FF1" w14:textId="77777777" w:rsidR="003505D1" w:rsidRPr="007474B0" w:rsidRDefault="003505D1" w:rsidP="00D21CF5">
            <w:pPr>
              <w:spacing w:before="0"/>
            </w:pPr>
            <w:r w:rsidRPr="005942CD">
              <w:t>IMA</w:t>
            </w:r>
          </w:p>
        </w:tc>
        <w:tc>
          <w:tcPr>
            <w:tcW w:w="7320" w:type="dxa"/>
            <w:tcBorders>
              <w:top w:val="single" w:sz="4" w:space="0" w:color="auto"/>
              <w:left w:val="nil"/>
              <w:right w:val="nil"/>
            </w:tcBorders>
          </w:tcPr>
          <w:p w14:paraId="00505C59" w14:textId="77777777" w:rsidR="003505D1" w:rsidRDefault="003505D1" w:rsidP="00D21CF5">
            <w:pPr>
              <w:spacing w:before="0"/>
            </w:pPr>
            <w:r>
              <w:t xml:space="preserve">Immunizations for Adolescents </w:t>
            </w:r>
          </w:p>
        </w:tc>
      </w:tr>
      <w:tr w:rsidR="003505D1" w14:paraId="41FD028A" w14:textId="77777777" w:rsidTr="00D21CF5">
        <w:trPr>
          <w:cantSplit/>
        </w:trPr>
        <w:tc>
          <w:tcPr>
            <w:tcW w:w="2040" w:type="dxa"/>
            <w:tcBorders>
              <w:top w:val="single" w:sz="4" w:space="0" w:color="auto"/>
              <w:left w:val="nil"/>
              <w:right w:val="nil"/>
            </w:tcBorders>
          </w:tcPr>
          <w:p w14:paraId="07B09B3D" w14:textId="77777777" w:rsidR="003505D1" w:rsidRPr="007474B0" w:rsidRDefault="003505D1" w:rsidP="00D21CF5">
            <w:pPr>
              <w:spacing w:before="0"/>
            </w:pPr>
            <w:r w:rsidRPr="005942CD">
              <w:t>IMD</w:t>
            </w:r>
          </w:p>
        </w:tc>
        <w:tc>
          <w:tcPr>
            <w:tcW w:w="7320" w:type="dxa"/>
            <w:tcBorders>
              <w:top w:val="single" w:sz="4" w:space="0" w:color="auto"/>
              <w:left w:val="nil"/>
              <w:right w:val="nil"/>
            </w:tcBorders>
          </w:tcPr>
          <w:p w14:paraId="1D402CA2" w14:textId="77777777" w:rsidR="003505D1" w:rsidRDefault="003505D1" w:rsidP="00D21CF5">
            <w:pPr>
              <w:spacing w:before="0"/>
            </w:pPr>
            <w:r>
              <w:t xml:space="preserve">Institutions of Mental Disease </w:t>
            </w:r>
          </w:p>
        </w:tc>
      </w:tr>
      <w:tr w:rsidR="003505D1" w14:paraId="5162BC4A" w14:textId="77777777" w:rsidTr="00D21CF5">
        <w:trPr>
          <w:cantSplit/>
        </w:trPr>
        <w:tc>
          <w:tcPr>
            <w:tcW w:w="2040" w:type="dxa"/>
            <w:tcBorders>
              <w:top w:val="single" w:sz="4" w:space="0" w:color="auto"/>
              <w:left w:val="nil"/>
              <w:right w:val="nil"/>
            </w:tcBorders>
          </w:tcPr>
          <w:p w14:paraId="2257511C" w14:textId="77777777" w:rsidR="003505D1" w:rsidRPr="007474B0" w:rsidRDefault="003505D1" w:rsidP="00D21CF5">
            <w:pPr>
              <w:spacing w:before="0"/>
            </w:pPr>
            <w:r w:rsidRPr="005942CD">
              <w:t>IME</w:t>
            </w:r>
          </w:p>
        </w:tc>
        <w:tc>
          <w:tcPr>
            <w:tcW w:w="7320" w:type="dxa"/>
            <w:tcBorders>
              <w:top w:val="single" w:sz="4" w:space="0" w:color="auto"/>
              <w:left w:val="nil"/>
              <w:right w:val="nil"/>
            </w:tcBorders>
          </w:tcPr>
          <w:p w14:paraId="0ACF6502" w14:textId="77777777" w:rsidR="003505D1" w:rsidRDefault="003505D1" w:rsidP="00D21CF5">
            <w:pPr>
              <w:spacing w:before="0"/>
            </w:pPr>
            <w:r>
              <w:t xml:space="preserve">Indirect Medical Education </w:t>
            </w:r>
          </w:p>
        </w:tc>
      </w:tr>
      <w:tr w:rsidR="003505D1" w14:paraId="6D85AF9F" w14:textId="77777777" w:rsidTr="00D21CF5">
        <w:trPr>
          <w:cantSplit/>
        </w:trPr>
        <w:tc>
          <w:tcPr>
            <w:tcW w:w="2040" w:type="dxa"/>
            <w:tcBorders>
              <w:top w:val="single" w:sz="4" w:space="0" w:color="auto"/>
              <w:left w:val="nil"/>
              <w:right w:val="nil"/>
            </w:tcBorders>
          </w:tcPr>
          <w:p w14:paraId="53DE566C" w14:textId="77777777" w:rsidR="003505D1" w:rsidRPr="007474B0" w:rsidRDefault="003505D1" w:rsidP="00D21CF5">
            <w:pPr>
              <w:spacing w:before="0"/>
            </w:pPr>
            <w:r w:rsidRPr="005942CD">
              <w:t>MCO</w:t>
            </w:r>
          </w:p>
        </w:tc>
        <w:tc>
          <w:tcPr>
            <w:tcW w:w="7320" w:type="dxa"/>
            <w:tcBorders>
              <w:top w:val="single" w:sz="4" w:space="0" w:color="auto"/>
              <w:left w:val="nil"/>
              <w:right w:val="nil"/>
            </w:tcBorders>
          </w:tcPr>
          <w:p w14:paraId="13A64A86" w14:textId="77777777" w:rsidR="003505D1" w:rsidRDefault="003505D1" w:rsidP="00D21CF5">
            <w:pPr>
              <w:spacing w:before="0"/>
            </w:pPr>
            <w:r>
              <w:t>Managed Care Organization</w:t>
            </w:r>
          </w:p>
        </w:tc>
      </w:tr>
      <w:tr w:rsidR="003505D1" w14:paraId="76768D0D" w14:textId="77777777" w:rsidTr="00D21CF5">
        <w:trPr>
          <w:cantSplit/>
        </w:trPr>
        <w:tc>
          <w:tcPr>
            <w:tcW w:w="2040" w:type="dxa"/>
            <w:tcBorders>
              <w:top w:val="single" w:sz="4" w:space="0" w:color="auto"/>
              <w:left w:val="nil"/>
              <w:right w:val="nil"/>
            </w:tcBorders>
          </w:tcPr>
          <w:p w14:paraId="3CAF68C3" w14:textId="77777777" w:rsidR="003505D1" w:rsidRPr="007474B0" w:rsidRDefault="003505D1" w:rsidP="00D21CF5">
            <w:pPr>
              <w:spacing w:before="0"/>
            </w:pPr>
            <w:r w:rsidRPr="005942CD">
              <w:t>MDD</w:t>
            </w:r>
          </w:p>
        </w:tc>
        <w:tc>
          <w:tcPr>
            <w:tcW w:w="7320" w:type="dxa"/>
            <w:tcBorders>
              <w:top w:val="single" w:sz="4" w:space="0" w:color="auto"/>
              <w:left w:val="nil"/>
              <w:right w:val="nil"/>
            </w:tcBorders>
          </w:tcPr>
          <w:p w14:paraId="3052E060" w14:textId="77777777" w:rsidR="003505D1" w:rsidRDefault="003505D1" w:rsidP="00D21CF5">
            <w:pPr>
              <w:spacing w:before="0"/>
            </w:pPr>
            <w:r>
              <w:t>Major Depressive Disorder</w:t>
            </w:r>
          </w:p>
        </w:tc>
      </w:tr>
      <w:tr w:rsidR="003505D1" w:rsidRPr="00F92EFE" w14:paraId="5E77A8AA" w14:textId="77777777" w:rsidTr="00D21CF5">
        <w:trPr>
          <w:cantSplit/>
        </w:trPr>
        <w:tc>
          <w:tcPr>
            <w:tcW w:w="2040" w:type="dxa"/>
            <w:tcBorders>
              <w:top w:val="single" w:sz="4" w:space="0" w:color="auto"/>
              <w:left w:val="nil"/>
              <w:right w:val="nil"/>
            </w:tcBorders>
          </w:tcPr>
          <w:p w14:paraId="3D0E252F" w14:textId="77777777" w:rsidR="003505D1" w:rsidRPr="007474B0" w:rsidRDefault="003505D1" w:rsidP="00D21CF5">
            <w:pPr>
              <w:spacing w:before="0"/>
            </w:pPr>
            <w:r w:rsidRPr="005942CD">
              <w:t>MMC</w:t>
            </w:r>
          </w:p>
        </w:tc>
        <w:tc>
          <w:tcPr>
            <w:tcW w:w="7320" w:type="dxa"/>
            <w:tcBorders>
              <w:top w:val="single" w:sz="4" w:space="0" w:color="auto"/>
              <w:left w:val="nil"/>
              <w:right w:val="nil"/>
            </w:tcBorders>
          </w:tcPr>
          <w:p w14:paraId="62B5407B" w14:textId="77777777" w:rsidR="003505D1" w:rsidRPr="00F92EFE" w:rsidRDefault="003505D1" w:rsidP="00D21CF5">
            <w:pPr>
              <w:spacing w:before="0"/>
            </w:pPr>
            <w:r>
              <w:t>Medicaid Managed Care</w:t>
            </w:r>
          </w:p>
        </w:tc>
      </w:tr>
      <w:tr w:rsidR="003505D1" w14:paraId="667FFD34" w14:textId="77777777" w:rsidTr="00D21CF5">
        <w:trPr>
          <w:cantSplit/>
        </w:trPr>
        <w:tc>
          <w:tcPr>
            <w:tcW w:w="2040" w:type="dxa"/>
            <w:tcBorders>
              <w:top w:val="single" w:sz="4" w:space="0" w:color="auto"/>
              <w:left w:val="nil"/>
              <w:right w:val="nil"/>
            </w:tcBorders>
          </w:tcPr>
          <w:p w14:paraId="2F8E76DF" w14:textId="77777777" w:rsidR="003505D1" w:rsidRPr="007474B0" w:rsidRDefault="003505D1" w:rsidP="00D21CF5">
            <w:pPr>
              <w:spacing w:before="0"/>
            </w:pPr>
            <w:r w:rsidRPr="005942CD">
              <w:t>NA</w:t>
            </w:r>
          </w:p>
        </w:tc>
        <w:tc>
          <w:tcPr>
            <w:tcW w:w="7320" w:type="dxa"/>
            <w:tcBorders>
              <w:top w:val="single" w:sz="4" w:space="0" w:color="auto"/>
              <w:left w:val="nil"/>
              <w:right w:val="nil"/>
            </w:tcBorders>
          </w:tcPr>
          <w:p w14:paraId="07731F2F" w14:textId="77777777" w:rsidR="003505D1" w:rsidRDefault="003505D1" w:rsidP="00D21CF5">
            <w:pPr>
              <w:spacing w:before="0"/>
            </w:pPr>
            <w:r>
              <w:t>Not Applicable</w:t>
            </w:r>
          </w:p>
        </w:tc>
      </w:tr>
      <w:tr w:rsidR="003505D1" w14:paraId="7BD03F97" w14:textId="77777777" w:rsidTr="00D21CF5">
        <w:trPr>
          <w:cantSplit/>
        </w:trPr>
        <w:tc>
          <w:tcPr>
            <w:tcW w:w="2040" w:type="dxa"/>
            <w:tcBorders>
              <w:top w:val="single" w:sz="4" w:space="0" w:color="auto"/>
              <w:left w:val="nil"/>
              <w:right w:val="nil"/>
            </w:tcBorders>
          </w:tcPr>
          <w:p w14:paraId="57219765" w14:textId="77777777" w:rsidR="003505D1" w:rsidRPr="007474B0" w:rsidRDefault="003505D1" w:rsidP="00D21CF5">
            <w:pPr>
              <w:spacing w:before="0"/>
            </w:pPr>
            <w:r w:rsidRPr="005942CD">
              <w:t>NCQA</w:t>
            </w:r>
          </w:p>
        </w:tc>
        <w:tc>
          <w:tcPr>
            <w:tcW w:w="7320" w:type="dxa"/>
            <w:tcBorders>
              <w:top w:val="single" w:sz="4" w:space="0" w:color="auto"/>
              <w:left w:val="nil"/>
              <w:right w:val="nil"/>
            </w:tcBorders>
          </w:tcPr>
          <w:p w14:paraId="3EB9DFEC" w14:textId="77777777" w:rsidR="003505D1" w:rsidRDefault="003505D1" w:rsidP="00D21CF5">
            <w:pPr>
              <w:spacing w:before="0"/>
            </w:pPr>
            <w:r>
              <w:t>National Committee for Quality Assurance</w:t>
            </w:r>
          </w:p>
        </w:tc>
      </w:tr>
      <w:tr w:rsidR="003505D1" w14:paraId="77261600" w14:textId="77777777" w:rsidTr="00D21CF5">
        <w:trPr>
          <w:cantSplit/>
        </w:trPr>
        <w:tc>
          <w:tcPr>
            <w:tcW w:w="2040" w:type="dxa"/>
            <w:tcBorders>
              <w:top w:val="single" w:sz="4" w:space="0" w:color="auto"/>
              <w:left w:val="nil"/>
              <w:right w:val="nil"/>
            </w:tcBorders>
          </w:tcPr>
          <w:p w14:paraId="7F248268" w14:textId="77777777" w:rsidR="003505D1" w:rsidRPr="007474B0" w:rsidRDefault="003505D1" w:rsidP="00D21CF5">
            <w:pPr>
              <w:spacing w:before="0"/>
            </w:pPr>
            <w:r w:rsidRPr="005942CD">
              <w:t>NQF</w:t>
            </w:r>
          </w:p>
        </w:tc>
        <w:tc>
          <w:tcPr>
            <w:tcW w:w="7320" w:type="dxa"/>
            <w:tcBorders>
              <w:top w:val="single" w:sz="4" w:space="0" w:color="auto"/>
              <w:left w:val="nil"/>
              <w:right w:val="nil"/>
            </w:tcBorders>
          </w:tcPr>
          <w:p w14:paraId="36ABC80B" w14:textId="77777777" w:rsidR="003505D1" w:rsidRDefault="003505D1" w:rsidP="00D21CF5">
            <w:pPr>
              <w:spacing w:before="0"/>
            </w:pPr>
            <w:r>
              <w:t>National Quality Forum</w:t>
            </w:r>
          </w:p>
        </w:tc>
      </w:tr>
      <w:tr w:rsidR="003505D1" w14:paraId="457AA285" w14:textId="77777777" w:rsidTr="00D21CF5">
        <w:trPr>
          <w:cantSplit/>
        </w:trPr>
        <w:tc>
          <w:tcPr>
            <w:tcW w:w="2040" w:type="dxa"/>
            <w:tcBorders>
              <w:top w:val="single" w:sz="4" w:space="0" w:color="auto"/>
              <w:left w:val="nil"/>
              <w:right w:val="nil"/>
            </w:tcBorders>
          </w:tcPr>
          <w:p w14:paraId="0B26ED32" w14:textId="77777777" w:rsidR="003505D1" w:rsidRPr="007474B0" w:rsidRDefault="003505D1" w:rsidP="00D21CF5">
            <w:pPr>
              <w:spacing w:before="0"/>
            </w:pPr>
            <w:r w:rsidRPr="005942CD">
              <w:t>PCMH</w:t>
            </w:r>
          </w:p>
        </w:tc>
        <w:tc>
          <w:tcPr>
            <w:tcW w:w="7320" w:type="dxa"/>
            <w:tcBorders>
              <w:top w:val="single" w:sz="4" w:space="0" w:color="auto"/>
              <w:left w:val="nil"/>
              <w:right w:val="nil"/>
            </w:tcBorders>
          </w:tcPr>
          <w:p w14:paraId="6F665FEB" w14:textId="77777777" w:rsidR="003505D1" w:rsidRDefault="003505D1" w:rsidP="00D21CF5">
            <w:pPr>
              <w:spacing w:before="0"/>
            </w:pPr>
            <w:r>
              <w:t>Patient-Centered Medical Home</w:t>
            </w:r>
          </w:p>
        </w:tc>
      </w:tr>
      <w:tr w:rsidR="003505D1" w14:paraId="785AFB29" w14:textId="77777777" w:rsidTr="00D21CF5">
        <w:trPr>
          <w:cantSplit/>
        </w:trPr>
        <w:tc>
          <w:tcPr>
            <w:tcW w:w="2040" w:type="dxa"/>
            <w:tcBorders>
              <w:top w:val="single" w:sz="4" w:space="0" w:color="auto"/>
              <w:left w:val="nil"/>
              <w:right w:val="nil"/>
            </w:tcBorders>
          </w:tcPr>
          <w:p w14:paraId="0CB9B4BE" w14:textId="77777777" w:rsidR="003505D1" w:rsidRPr="007474B0" w:rsidRDefault="003505D1" w:rsidP="00D21CF5">
            <w:pPr>
              <w:spacing w:before="0"/>
            </w:pPr>
            <w:r w:rsidRPr="005942CD">
              <w:t>PCPI</w:t>
            </w:r>
          </w:p>
        </w:tc>
        <w:tc>
          <w:tcPr>
            <w:tcW w:w="7320" w:type="dxa"/>
            <w:tcBorders>
              <w:top w:val="single" w:sz="4" w:space="0" w:color="auto"/>
              <w:left w:val="nil"/>
              <w:right w:val="nil"/>
            </w:tcBorders>
          </w:tcPr>
          <w:p w14:paraId="4B578A21" w14:textId="77777777" w:rsidR="003505D1" w:rsidRDefault="003505D1" w:rsidP="00D21CF5">
            <w:pPr>
              <w:spacing w:before="0"/>
            </w:pPr>
            <w:r>
              <w:t>Physician Consortium for Performance Improvement Foundation</w:t>
            </w:r>
          </w:p>
        </w:tc>
      </w:tr>
      <w:tr w:rsidR="003505D1" w14:paraId="7A8D44D4" w14:textId="77777777" w:rsidTr="00D21CF5">
        <w:trPr>
          <w:cantSplit/>
        </w:trPr>
        <w:tc>
          <w:tcPr>
            <w:tcW w:w="2040" w:type="dxa"/>
            <w:tcBorders>
              <w:top w:val="single" w:sz="4" w:space="0" w:color="auto"/>
              <w:left w:val="nil"/>
              <w:right w:val="nil"/>
            </w:tcBorders>
          </w:tcPr>
          <w:p w14:paraId="556258AB" w14:textId="77777777" w:rsidR="003505D1" w:rsidRPr="007474B0" w:rsidRDefault="003505D1" w:rsidP="00D21CF5">
            <w:pPr>
              <w:spacing w:before="0"/>
            </w:pPr>
            <w:r w:rsidRPr="005942CD">
              <w:t>PHE</w:t>
            </w:r>
          </w:p>
        </w:tc>
        <w:tc>
          <w:tcPr>
            <w:tcW w:w="7320" w:type="dxa"/>
            <w:tcBorders>
              <w:top w:val="single" w:sz="4" w:space="0" w:color="auto"/>
              <w:left w:val="nil"/>
              <w:right w:val="nil"/>
            </w:tcBorders>
          </w:tcPr>
          <w:p w14:paraId="38F06CDE" w14:textId="77777777" w:rsidR="003505D1" w:rsidRDefault="003505D1" w:rsidP="00D21CF5">
            <w:pPr>
              <w:spacing w:before="0"/>
            </w:pPr>
            <w:r>
              <w:t>Public Health Emergency</w:t>
            </w:r>
          </w:p>
        </w:tc>
      </w:tr>
      <w:tr w:rsidR="003505D1" w14:paraId="6184FD50" w14:textId="77777777" w:rsidTr="00D21CF5">
        <w:trPr>
          <w:cantSplit/>
        </w:trPr>
        <w:tc>
          <w:tcPr>
            <w:tcW w:w="2040" w:type="dxa"/>
            <w:tcBorders>
              <w:top w:val="single" w:sz="4" w:space="0" w:color="auto"/>
              <w:left w:val="nil"/>
              <w:right w:val="nil"/>
            </w:tcBorders>
          </w:tcPr>
          <w:p w14:paraId="18968476" w14:textId="77777777" w:rsidR="003505D1" w:rsidRPr="007474B0" w:rsidRDefault="003505D1" w:rsidP="00D21CF5">
            <w:pPr>
              <w:spacing w:before="0"/>
            </w:pPr>
            <w:r w:rsidRPr="005942CD">
              <w:t>PPA</w:t>
            </w:r>
          </w:p>
        </w:tc>
        <w:tc>
          <w:tcPr>
            <w:tcW w:w="7320" w:type="dxa"/>
            <w:tcBorders>
              <w:top w:val="single" w:sz="4" w:space="0" w:color="auto"/>
              <w:left w:val="nil"/>
              <w:right w:val="nil"/>
            </w:tcBorders>
          </w:tcPr>
          <w:p w14:paraId="616457B1" w14:textId="77777777" w:rsidR="003505D1" w:rsidRDefault="003505D1" w:rsidP="00D21CF5">
            <w:pPr>
              <w:spacing w:before="0"/>
            </w:pPr>
            <w:r>
              <w:t>Potentially Preventable Admissions</w:t>
            </w:r>
          </w:p>
        </w:tc>
      </w:tr>
      <w:tr w:rsidR="003505D1" w14:paraId="304B592F" w14:textId="77777777" w:rsidTr="00D21CF5">
        <w:trPr>
          <w:cantSplit/>
        </w:trPr>
        <w:tc>
          <w:tcPr>
            <w:tcW w:w="2040" w:type="dxa"/>
            <w:tcBorders>
              <w:top w:val="single" w:sz="4" w:space="0" w:color="auto"/>
              <w:left w:val="nil"/>
              <w:right w:val="nil"/>
            </w:tcBorders>
          </w:tcPr>
          <w:p w14:paraId="45F6C200" w14:textId="77777777" w:rsidR="003505D1" w:rsidRPr="007474B0" w:rsidRDefault="003505D1" w:rsidP="00D21CF5">
            <w:pPr>
              <w:spacing w:before="0"/>
            </w:pPr>
            <w:r w:rsidRPr="005942CD">
              <w:t>PPC</w:t>
            </w:r>
          </w:p>
        </w:tc>
        <w:tc>
          <w:tcPr>
            <w:tcW w:w="7320" w:type="dxa"/>
            <w:tcBorders>
              <w:top w:val="single" w:sz="4" w:space="0" w:color="auto"/>
              <w:left w:val="nil"/>
              <w:right w:val="nil"/>
            </w:tcBorders>
          </w:tcPr>
          <w:p w14:paraId="267D4EF8" w14:textId="77777777" w:rsidR="003505D1" w:rsidRDefault="003505D1" w:rsidP="00D21CF5">
            <w:pPr>
              <w:spacing w:before="0"/>
            </w:pPr>
            <w:r>
              <w:t>Potentially Preventable Complications</w:t>
            </w:r>
          </w:p>
        </w:tc>
      </w:tr>
      <w:tr w:rsidR="003505D1" w14:paraId="58EA933D" w14:textId="77777777" w:rsidTr="00D21CF5">
        <w:trPr>
          <w:cantSplit/>
        </w:trPr>
        <w:tc>
          <w:tcPr>
            <w:tcW w:w="2040" w:type="dxa"/>
            <w:tcBorders>
              <w:top w:val="single" w:sz="4" w:space="0" w:color="auto"/>
              <w:left w:val="nil"/>
              <w:right w:val="nil"/>
            </w:tcBorders>
          </w:tcPr>
          <w:p w14:paraId="55A938CA" w14:textId="77777777" w:rsidR="003505D1" w:rsidRPr="007474B0" w:rsidRDefault="003505D1" w:rsidP="00D21CF5">
            <w:pPr>
              <w:spacing w:before="0"/>
            </w:pPr>
            <w:r w:rsidRPr="005942CD">
              <w:t>PPR</w:t>
            </w:r>
          </w:p>
        </w:tc>
        <w:tc>
          <w:tcPr>
            <w:tcW w:w="7320" w:type="dxa"/>
            <w:tcBorders>
              <w:top w:val="single" w:sz="4" w:space="0" w:color="auto"/>
              <w:left w:val="nil"/>
              <w:right w:val="nil"/>
            </w:tcBorders>
          </w:tcPr>
          <w:p w14:paraId="57F4799E" w14:textId="77777777" w:rsidR="003505D1" w:rsidRDefault="003505D1" w:rsidP="00D21CF5">
            <w:pPr>
              <w:spacing w:before="0"/>
            </w:pPr>
            <w:r>
              <w:t>Potentially Preventable Readmissions</w:t>
            </w:r>
          </w:p>
        </w:tc>
      </w:tr>
      <w:tr w:rsidR="003505D1" w14:paraId="7A9C7F0A" w14:textId="77777777" w:rsidTr="00D21CF5">
        <w:trPr>
          <w:cantSplit/>
        </w:trPr>
        <w:tc>
          <w:tcPr>
            <w:tcW w:w="2040" w:type="dxa"/>
            <w:tcBorders>
              <w:top w:val="single" w:sz="4" w:space="0" w:color="auto"/>
              <w:left w:val="nil"/>
              <w:right w:val="nil"/>
            </w:tcBorders>
          </w:tcPr>
          <w:p w14:paraId="3A1F7A21" w14:textId="77777777" w:rsidR="003505D1" w:rsidRPr="007474B0" w:rsidRDefault="003505D1" w:rsidP="00D21CF5">
            <w:pPr>
              <w:spacing w:before="0"/>
            </w:pPr>
            <w:r w:rsidRPr="005942CD">
              <w:lastRenderedPageBreak/>
              <w:t>PPV</w:t>
            </w:r>
          </w:p>
        </w:tc>
        <w:tc>
          <w:tcPr>
            <w:tcW w:w="7320" w:type="dxa"/>
            <w:tcBorders>
              <w:top w:val="single" w:sz="4" w:space="0" w:color="auto"/>
              <w:left w:val="nil"/>
              <w:right w:val="nil"/>
            </w:tcBorders>
          </w:tcPr>
          <w:p w14:paraId="649D1E33" w14:textId="77777777" w:rsidR="003505D1" w:rsidRDefault="003505D1" w:rsidP="00D21CF5">
            <w:pPr>
              <w:spacing w:before="0"/>
            </w:pPr>
            <w:r>
              <w:t>Potentially Preventable Emergency Department Visits</w:t>
            </w:r>
          </w:p>
        </w:tc>
      </w:tr>
      <w:tr w:rsidR="003505D1" w14:paraId="2143E95D" w14:textId="77777777" w:rsidTr="00D21CF5">
        <w:trPr>
          <w:cantSplit/>
        </w:trPr>
        <w:tc>
          <w:tcPr>
            <w:tcW w:w="2040" w:type="dxa"/>
            <w:tcBorders>
              <w:top w:val="single" w:sz="4" w:space="0" w:color="auto"/>
              <w:left w:val="nil"/>
              <w:right w:val="nil"/>
            </w:tcBorders>
          </w:tcPr>
          <w:p w14:paraId="60C28DC7" w14:textId="77777777" w:rsidR="003505D1" w:rsidRPr="007474B0" w:rsidRDefault="003505D1" w:rsidP="00D21CF5">
            <w:pPr>
              <w:spacing w:before="0"/>
            </w:pPr>
            <w:r w:rsidRPr="005942CD">
              <w:t>RAPPS</w:t>
            </w:r>
          </w:p>
        </w:tc>
        <w:tc>
          <w:tcPr>
            <w:tcW w:w="7320" w:type="dxa"/>
            <w:tcBorders>
              <w:top w:val="single" w:sz="4" w:space="0" w:color="auto"/>
              <w:left w:val="nil"/>
              <w:right w:val="nil"/>
            </w:tcBorders>
          </w:tcPr>
          <w:p w14:paraId="22C601E8" w14:textId="77777777" w:rsidR="003505D1" w:rsidRDefault="003505D1" w:rsidP="00D21CF5">
            <w:pPr>
              <w:spacing w:before="0"/>
            </w:pPr>
            <w:r w:rsidRPr="001F1E53">
              <w:t>Rural Access to Primary and Preventive Services</w:t>
            </w:r>
            <w:r>
              <w:t xml:space="preserve"> Program</w:t>
            </w:r>
          </w:p>
        </w:tc>
      </w:tr>
      <w:tr w:rsidR="003505D1" w:rsidRPr="001F1E53" w14:paraId="79981B26" w14:textId="77777777" w:rsidTr="00D21CF5">
        <w:trPr>
          <w:cantSplit/>
        </w:trPr>
        <w:tc>
          <w:tcPr>
            <w:tcW w:w="2040" w:type="dxa"/>
            <w:tcBorders>
              <w:top w:val="single" w:sz="4" w:space="0" w:color="auto"/>
              <w:left w:val="nil"/>
              <w:right w:val="nil"/>
            </w:tcBorders>
          </w:tcPr>
          <w:p w14:paraId="455C6495" w14:textId="77777777" w:rsidR="003505D1" w:rsidRPr="007474B0" w:rsidRDefault="003505D1" w:rsidP="00D21CF5">
            <w:pPr>
              <w:spacing w:before="0"/>
            </w:pPr>
            <w:r w:rsidRPr="005942CD">
              <w:t>RHC</w:t>
            </w:r>
          </w:p>
        </w:tc>
        <w:tc>
          <w:tcPr>
            <w:tcW w:w="7320" w:type="dxa"/>
            <w:tcBorders>
              <w:top w:val="single" w:sz="4" w:space="0" w:color="auto"/>
              <w:left w:val="nil"/>
              <w:right w:val="nil"/>
            </w:tcBorders>
          </w:tcPr>
          <w:p w14:paraId="048B9321" w14:textId="77777777" w:rsidR="003505D1" w:rsidRPr="001F1E53" w:rsidRDefault="003505D1" w:rsidP="00D21CF5">
            <w:pPr>
              <w:spacing w:before="0"/>
            </w:pPr>
            <w:r>
              <w:t>Rural Health Clinic</w:t>
            </w:r>
          </w:p>
        </w:tc>
      </w:tr>
      <w:tr w:rsidR="003505D1" w14:paraId="606A9968" w14:textId="77777777" w:rsidTr="00D21CF5">
        <w:trPr>
          <w:cantSplit/>
        </w:trPr>
        <w:tc>
          <w:tcPr>
            <w:tcW w:w="2040" w:type="dxa"/>
            <w:tcBorders>
              <w:top w:val="single" w:sz="4" w:space="0" w:color="auto"/>
              <w:left w:val="nil"/>
              <w:right w:val="nil"/>
            </w:tcBorders>
          </w:tcPr>
          <w:p w14:paraId="5B56698E" w14:textId="77777777" w:rsidR="003505D1" w:rsidRPr="007474B0" w:rsidRDefault="003505D1" w:rsidP="00D21CF5">
            <w:pPr>
              <w:spacing w:before="0"/>
            </w:pPr>
            <w:r w:rsidRPr="005942CD">
              <w:t>SDA</w:t>
            </w:r>
          </w:p>
        </w:tc>
        <w:tc>
          <w:tcPr>
            <w:tcW w:w="7320" w:type="dxa"/>
            <w:tcBorders>
              <w:top w:val="single" w:sz="4" w:space="0" w:color="auto"/>
              <w:left w:val="nil"/>
              <w:right w:val="nil"/>
            </w:tcBorders>
          </w:tcPr>
          <w:p w14:paraId="1D1C4408" w14:textId="77777777" w:rsidR="003505D1" w:rsidRDefault="003505D1" w:rsidP="00D21CF5">
            <w:pPr>
              <w:spacing w:before="0"/>
            </w:pPr>
            <w:r>
              <w:t>Service Delivery Area</w:t>
            </w:r>
          </w:p>
        </w:tc>
      </w:tr>
      <w:tr w:rsidR="003505D1" w14:paraId="2CC4BCE1" w14:textId="77777777" w:rsidTr="00D21CF5">
        <w:trPr>
          <w:cantSplit/>
        </w:trPr>
        <w:tc>
          <w:tcPr>
            <w:tcW w:w="2040" w:type="dxa"/>
            <w:tcBorders>
              <w:top w:val="single" w:sz="4" w:space="0" w:color="auto"/>
              <w:left w:val="nil"/>
              <w:right w:val="nil"/>
            </w:tcBorders>
          </w:tcPr>
          <w:p w14:paraId="748C14F4" w14:textId="77777777" w:rsidR="003505D1" w:rsidRPr="007474B0" w:rsidRDefault="003505D1" w:rsidP="00D21CF5">
            <w:pPr>
              <w:spacing w:before="0"/>
            </w:pPr>
            <w:r w:rsidRPr="005942CD">
              <w:t>SFY</w:t>
            </w:r>
          </w:p>
        </w:tc>
        <w:tc>
          <w:tcPr>
            <w:tcW w:w="7320" w:type="dxa"/>
            <w:tcBorders>
              <w:top w:val="single" w:sz="4" w:space="0" w:color="auto"/>
              <w:left w:val="nil"/>
              <w:right w:val="nil"/>
            </w:tcBorders>
          </w:tcPr>
          <w:p w14:paraId="3D0CBD3E" w14:textId="77777777" w:rsidR="003505D1" w:rsidRDefault="003505D1" w:rsidP="00D21CF5">
            <w:pPr>
              <w:spacing w:before="0"/>
            </w:pPr>
            <w:r>
              <w:t>State Fiscal Year</w:t>
            </w:r>
          </w:p>
        </w:tc>
      </w:tr>
      <w:tr w:rsidR="003505D1" w14:paraId="4087F9CF" w14:textId="77777777" w:rsidTr="00D21CF5">
        <w:trPr>
          <w:cantSplit/>
        </w:trPr>
        <w:tc>
          <w:tcPr>
            <w:tcW w:w="2040" w:type="dxa"/>
            <w:tcBorders>
              <w:top w:val="single" w:sz="4" w:space="0" w:color="auto"/>
              <w:left w:val="nil"/>
              <w:right w:val="nil"/>
            </w:tcBorders>
          </w:tcPr>
          <w:p w14:paraId="128ED6E9" w14:textId="77777777" w:rsidR="003505D1" w:rsidRPr="007474B0" w:rsidRDefault="003505D1" w:rsidP="00D21CF5">
            <w:pPr>
              <w:spacing w:before="0"/>
            </w:pPr>
            <w:r w:rsidRPr="005942CD">
              <w:t>SMM</w:t>
            </w:r>
          </w:p>
        </w:tc>
        <w:tc>
          <w:tcPr>
            <w:tcW w:w="7320" w:type="dxa"/>
            <w:tcBorders>
              <w:top w:val="single" w:sz="4" w:space="0" w:color="auto"/>
              <w:left w:val="nil"/>
              <w:right w:val="nil"/>
            </w:tcBorders>
          </w:tcPr>
          <w:p w14:paraId="0CD773F3" w14:textId="77777777" w:rsidR="003505D1" w:rsidRDefault="003505D1" w:rsidP="00D21CF5">
            <w:pPr>
              <w:spacing w:before="0"/>
            </w:pPr>
            <w:r>
              <w:t xml:space="preserve">Severe Maternal Morbidity </w:t>
            </w:r>
          </w:p>
        </w:tc>
      </w:tr>
      <w:tr w:rsidR="003505D1" w14:paraId="79628458" w14:textId="77777777" w:rsidTr="00D21CF5">
        <w:trPr>
          <w:cantSplit/>
          <w:trHeight w:val="270"/>
        </w:trPr>
        <w:tc>
          <w:tcPr>
            <w:tcW w:w="2040" w:type="dxa"/>
            <w:tcBorders>
              <w:top w:val="single" w:sz="4" w:space="0" w:color="auto"/>
              <w:left w:val="nil"/>
              <w:right w:val="nil"/>
            </w:tcBorders>
          </w:tcPr>
          <w:p w14:paraId="3B874D72" w14:textId="77777777" w:rsidR="003505D1" w:rsidRPr="007474B0" w:rsidRDefault="003505D1" w:rsidP="00D21CF5">
            <w:pPr>
              <w:spacing w:before="0"/>
            </w:pPr>
            <w:r w:rsidRPr="005942CD">
              <w:t>SSI</w:t>
            </w:r>
          </w:p>
        </w:tc>
        <w:tc>
          <w:tcPr>
            <w:tcW w:w="7320" w:type="dxa"/>
            <w:tcBorders>
              <w:top w:val="single" w:sz="4" w:space="0" w:color="auto"/>
              <w:left w:val="nil"/>
              <w:right w:val="nil"/>
            </w:tcBorders>
          </w:tcPr>
          <w:p w14:paraId="50B2E0AF" w14:textId="77777777" w:rsidR="003505D1" w:rsidRDefault="003505D1" w:rsidP="00D21CF5">
            <w:pPr>
              <w:spacing w:before="0"/>
            </w:pPr>
            <w:r>
              <w:t xml:space="preserve">Surgical Site Infection </w:t>
            </w:r>
          </w:p>
        </w:tc>
      </w:tr>
      <w:tr w:rsidR="003505D1" w14:paraId="21011A7F" w14:textId="77777777" w:rsidTr="00D21CF5">
        <w:trPr>
          <w:cantSplit/>
        </w:trPr>
        <w:tc>
          <w:tcPr>
            <w:tcW w:w="2040" w:type="dxa"/>
            <w:tcBorders>
              <w:top w:val="single" w:sz="4" w:space="0" w:color="auto"/>
              <w:left w:val="nil"/>
              <w:right w:val="nil"/>
            </w:tcBorders>
          </w:tcPr>
          <w:p w14:paraId="537C1DF3" w14:textId="77777777" w:rsidR="003505D1" w:rsidRPr="007474B0" w:rsidRDefault="003505D1" w:rsidP="00D21CF5">
            <w:pPr>
              <w:spacing w:before="0"/>
            </w:pPr>
            <w:r w:rsidRPr="005942CD">
              <w:t>STAR</w:t>
            </w:r>
          </w:p>
        </w:tc>
        <w:tc>
          <w:tcPr>
            <w:tcW w:w="7320" w:type="dxa"/>
            <w:tcBorders>
              <w:top w:val="single" w:sz="4" w:space="0" w:color="auto"/>
              <w:left w:val="nil"/>
              <w:right w:val="nil"/>
            </w:tcBorders>
          </w:tcPr>
          <w:p w14:paraId="5B95E864" w14:textId="77777777" w:rsidR="003505D1" w:rsidRDefault="003505D1" w:rsidP="00D21CF5">
            <w:pPr>
              <w:spacing w:before="0"/>
            </w:pPr>
            <w:r>
              <w:t>State of Texas Access Reform</w:t>
            </w:r>
          </w:p>
        </w:tc>
      </w:tr>
      <w:tr w:rsidR="003505D1" w14:paraId="1A9A1082" w14:textId="77777777" w:rsidTr="00D21CF5">
        <w:trPr>
          <w:cantSplit/>
        </w:trPr>
        <w:tc>
          <w:tcPr>
            <w:tcW w:w="2040" w:type="dxa"/>
            <w:tcBorders>
              <w:top w:val="single" w:sz="4" w:space="0" w:color="auto"/>
              <w:left w:val="nil"/>
              <w:right w:val="nil"/>
            </w:tcBorders>
          </w:tcPr>
          <w:p w14:paraId="42624FA1" w14:textId="77777777" w:rsidR="003505D1" w:rsidRPr="007474B0" w:rsidRDefault="003505D1" w:rsidP="00D21CF5">
            <w:pPr>
              <w:spacing w:before="0"/>
            </w:pPr>
            <w:r w:rsidRPr="005942CD">
              <w:t>TIPPS</w:t>
            </w:r>
          </w:p>
        </w:tc>
        <w:tc>
          <w:tcPr>
            <w:tcW w:w="7320" w:type="dxa"/>
            <w:tcBorders>
              <w:top w:val="single" w:sz="4" w:space="0" w:color="auto"/>
              <w:left w:val="nil"/>
              <w:right w:val="nil"/>
            </w:tcBorders>
          </w:tcPr>
          <w:p w14:paraId="5095B6FE" w14:textId="77777777" w:rsidR="003505D1" w:rsidRDefault="003505D1" w:rsidP="00D21CF5">
            <w:pPr>
              <w:spacing w:before="0"/>
            </w:pPr>
            <w:r w:rsidRPr="001F1E53">
              <w:t>Texas Incentives for Physicians and Professional Services</w:t>
            </w:r>
            <w:r>
              <w:t xml:space="preserve"> </w:t>
            </w:r>
          </w:p>
        </w:tc>
      </w:tr>
      <w:tr w:rsidR="003505D1" w:rsidRPr="001F1E53" w14:paraId="2ED022E1" w14:textId="77777777" w:rsidTr="00D21CF5">
        <w:trPr>
          <w:cantSplit/>
        </w:trPr>
        <w:tc>
          <w:tcPr>
            <w:tcW w:w="2040" w:type="dxa"/>
            <w:tcBorders>
              <w:top w:val="single" w:sz="4" w:space="0" w:color="auto"/>
              <w:left w:val="nil"/>
              <w:right w:val="nil"/>
            </w:tcBorders>
          </w:tcPr>
          <w:p w14:paraId="237803B9" w14:textId="77777777" w:rsidR="003505D1" w:rsidRPr="007474B0" w:rsidRDefault="003505D1" w:rsidP="00D21CF5">
            <w:pPr>
              <w:spacing w:before="0"/>
            </w:pPr>
            <w:r w:rsidRPr="005942CD">
              <w:t>UHRIP</w:t>
            </w:r>
          </w:p>
        </w:tc>
        <w:tc>
          <w:tcPr>
            <w:tcW w:w="7320" w:type="dxa"/>
            <w:tcBorders>
              <w:top w:val="single" w:sz="4" w:space="0" w:color="auto"/>
              <w:left w:val="nil"/>
              <w:right w:val="nil"/>
            </w:tcBorders>
          </w:tcPr>
          <w:p w14:paraId="4E33A866" w14:textId="77777777" w:rsidR="003505D1" w:rsidRPr="001F1E53" w:rsidRDefault="003505D1" w:rsidP="00D21CF5">
            <w:pPr>
              <w:spacing w:before="0"/>
            </w:pPr>
            <w:r>
              <w:t xml:space="preserve">Uniform Hospital Rate Increase Program </w:t>
            </w:r>
          </w:p>
        </w:tc>
      </w:tr>
    </w:tbl>
    <w:p w14:paraId="6A57B664" w14:textId="39617B9B" w:rsidR="00240B00" w:rsidRPr="003B09DD" w:rsidRDefault="00240B00" w:rsidP="003B09DD">
      <w:pPr>
        <w:pStyle w:val="BodyText"/>
        <w:sectPr w:rsidR="00240B00" w:rsidRPr="003B09DD" w:rsidSect="00B37721">
          <w:footerReference w:type="default" r:id="rId22"/>
          <w:pgSz w:w="12240" w:h="15840"/>
          <w:pgMar w:top="990" w:right="900" w:bottom="1440" w:left="1350" w:header="202" w:footer="720" w:gutter="0"/>
          <w:pgNumType w:start="1"/>
          <w:cols w:space="720"/>
          <w:docGrid w:linePitch="360"/>
        </w:sectPr>
      </w:pPr>
    </w:p>
    <w:p w14:paraId="50E8D6CF" w14:textId="0CCE0FEE" w:rsidR="005E5DFE" w:rsidRDefault="006A54DD" w:rsidP="007947FD">
      <w:pPr>
        <w:pStyle w:val="Heading1"/>
        <w:numPr>
          <w:ilvl w:val="0"/>
          <w:numId w:val="0"/>
        </w:numPr>
      </w:pPr>
      <w:bookmarkStart w:id="497" w:name="_Toc156487094"/>
      <w:bookmarkStart w:id="498" w:name="_Toc157413977"/>
      <w:r>
        <w:lastRenderedPageBreak/>
        <w:t>Appendix B</w:t>
      </w:r>
      <w:r w:rsidR="007947FD">
        <w:t>: Population Data</w:t>
      </w:r>
      <w:bookmarkEnd w:id="497"/>
      <w:bookmarkEnd w:id="498"/>
    </w:p>
    <w:p w14:paraId="0184E231" w14:textId="6077A78C" w:rsidR="00F478D8" w:rsidRPr="00C57B50" w:rsidRDefault="007543A5" w:rsidP="00C57B50">
      <w:pPr>
        <w:pStyle w:val="Heading2"/>
        <w:rPr>
          <w:sz w:val="28"/>
          <w:szCs w:val="22"/>
        </w:rPr>
      </w:pPr>
      <w:bookmarkStart w:id="499" w:name="_Toc155105206"/>
      <w:bookmarkStart w:id="500" w:name="_Toc156487095"/>
      <w:bookmarkStart w:id="501" w:name="_Toc157413978"/>
      <w:r w:rsidRPr="00C57B50">
        <w:rPr>
          <w:sz w:val="28"/>
          <w:szCs w:val="22"/>
        </w:rPr>
        <w:t>Figure</w:t>
      </w:r>
      <w:r w:rsidR="007125C4" w:rsidRPr="00C57B50">
        <w:rPr>
          <w:sz w:val="28"/>
          <w:szCs w:val="22"/>
        </w:rPr>
        <w:t xml:space="preserve"> 1</w:t>
      </w:r>
      <w:r w:rsidR="008F6BFC" w:rsidRPr="00C57B50">
        <w:rPr>
          <w:sz w:val="28"/>
          <w:szCs w:val="22"/>
        </w:rPr>
        <w:t>:</w:t>
      </w:r>
      <w:r w:rsidR="007125C4" w:rsidRPr="00C57B50">
        <w:rPr>
          <w:sz w:val="28"/>
          <w:szCs w:val="22"/>
        </w:rPr>
        <w:t xml:space="preserve"> </w:t>
      </w:r>
      <w:r w:rsidR="00F478D8" w:rsidRPr="00C57B50">
        <w:rPr>
          <w:sz w:val="28"/>
          <w:szCs w:val="22"/>
        </w:rPr>
        <w:t xml:space="preserve">How does the rate of potentially preventable admissions </w:t>
      </w:r>
      <w:r w:rsidR="00446BD4" w:rsidRPr="00C57B50">
        <w:rPr>
          <w:sz w:val="28"/>
          <w:szCs w:val="22"/>
        </w:rPr>
        <w:t xml:space="preserve">(PPAs) </w:t>
      </w:r>
      <w:r w:rsidR="00F478D8" w:rsidRPr="00C57B50">
        <w:rPr>
          <w:sz w:val="28"/>
          <w:szCs w:val="22"/>
        </w:rPr>
        <w:t xml:space="preserve">for a program population </w:t>
      </w:r>
      <w:proofErr w:type="gramStart"/>
      <w:r w:rsidR="00F478D8" w:rsidRPr="00C57B50">
        <w:rPr>
          <w:sz w:val="28"/>
          <w:szCs w:val="22"/>
        </w:rPr>
        <w:t>compare</w:t>
      </w:r>
      <w:proofErr w:type="gramEnd"/>
      <w:r w:rsidR="00F478D8" w:rsidRPr="00C57B50">
        <w:rPr>
          <w:sz w:val="28"/>
          <w:szCs w:val="22"/>
        </w:rPr>
        <w:t xml:space="preserve"> to the expected rate of PPAs in CY</w:t>
      </w:r>
      <w:r w:rsidR="00446BD4" w:rsidRPr="00C57B50">
        <w:rPr>
          <w:sz w:val="28"/>
          <w:szCs w:val="22"/>
        </w:rPr>
        <w:t xml:space="preserve"> </w:t>
      </w:r>
      <w:r w:rsidR="00F478D8" w:rsidRPr="00C57B50">
        <w:rPr>
          <w:sz w:val="28"/>
          <w:szCs w:val="22"/>
        </w:rPr>
        <w:t>2021</w:t>
      </w:r>
      <w:r w:rsidR="00C20FB4" w:rsidRPr="00C57B50">
        <w:rPr>
          <w:sz w:val="28"/>
          <w:szCs w:val="22"/>
        </w:rPr>
        <w:t xml:space="preserve"> and 2022</w:t>
      </w:r>
      <w:r w:rsidR="00F478D8" w:rsidRPr="00C57B50">
        <w:rPr>
          <w:sz w:val="28"/>
          <w:szCs w:val="22"/>
        </w:rPr>
        <w:t>?</w:t>
      </w:r>
      <w:bookmarkEnd w:id="499"/>
      <w:bookmarkEnd w:id="500"/>
      <w:bookmarkEnd w:id="501"/>
      <w:r w:rsidR="00F478D8" w:rsidRPr="00C57B50">
        <w:rPr>
          <w:sz w:val="28"/>
          <w:szCs w:val="22"/>
        </w:rPr>
        <w:t xml:space="preserve"> </w:t>
      </w:r>
    </w:p>
    <w:p w14:paraId="2FE704FD" w14:textId="4C1CDA50" w:rsidR="00CB3869" w:rsidRDefault="00306C02" w:rsidP="00C20FB4">
      <w:pPr>
        <w:pStyle w:val="BodyText"/>
        <w:spacing w:before="0"/>
        <w:rPr>
          <w:rStyle w:val="Heading3Char"/>
          <w:b w:val="0"/>
          <w:szCs w:val="28"/>
        </w:rPr>
      </w:pPr>
      <w:r w:rsidRPr="00A265F6">
        <w:rPr>
          <w:noProof/>
          <w:sz w:val="24"/>
          <w:szCs w:val="24"/>
        </w:rPr>
        <mc:AlternateContent>
          <mc:Choice Requires="wps">
            <w:drawing>
              <wp:anchor distT="45720" distB="45720" distL="114300" distR="114300" simplePos="0" relativeHeight="251658241" behindDoc="0" locked="0" layoutInCell="1" allowOverlap="1" wp14:anchorId="0ED49BD7" wp14:editId="1BF62146">
                <wp:simplePos x="0" y="0"/>
                <wp:positionH relativeFrom="column">
                  <wp:posOffset>5368231</wp:posOffset>
                </wp:positionH>
                <wp:positionV relativeFrom="paragraph">
                  <wp:posOffset>146788</wp:posOffset>
                </wp:positionV>
                <wp:extent cx="3054424" cy="584791"/>
                <wp:effectExtent l="0" t="0" r="12700" b="25400"/>
                <wp:wrapNone/>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4424" cy="584791"/>
                        </a:xfrm>
                        <a:prstGeom prst="rect">
                          <a:avLst/>
                        </a:prstGeom>
                        <a:solidFill>
                          <a:srgbClr val="FFFFFF"/>
                        </a:solidFill>
                        <a:ln w="9525">
                          <a:solidFill>
                            <a:srgbClr val="000000"/>
                          </a:solidFill>
                          <a:miter lim="800000"/>
                          <a:headEnd/>
                          <a:tailEnd/>
                        </a:ln>
                      </wps:spPr>
                      <wps:txbx>
                        <w:txbxContent>
                          <w:p w14:paraId="598596BA" w14:textId="31978C23" w:rsidR="00277B1F" w:rsidRPr="002E757C" w:rsidRDefault="00F478D8" w:rsidP="002433E8">
                            <w:pPr>
                              <w:spacing w:before="0"/>
                              <w:rPr>
                                <w:szCs w:val="22"/>
                              </w:rPr>
                            </w:pPr>
                            <w:r w:rsidRPr="002E757C">
                              <w:rPr>
                                <w:szCs w:val="22"/>
                              </w:rPr>
                              <w:t>A ratio &gt;1.0 is worse than expected and a ratio &lt;1.0 is better than</w:t>
                            </w:r>
                            <w:r w:rsidR="00306C02" w:rsidRPr="002E757C">
                              <w:rPr>
                                <w:szCs w:val="22"/>
                              </w:rPr>
                              <w:t xml:space="preserve"> </w:t>
                            </w:r>
                            <w:r w:rsidRPr="002E757C">
                              <w:rPr>
                                <w:szCs w:val="22"/>
                              </w:rPr>
                              <w:t>expected.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ED49BD7" id="_x0000_t202" coordsize="21600,21600" o:spt="202" path="m,l,21600r21600,l21600,xe">
                <v:stroke joinstyle="miter"/>
                <v:path gradientshapeok="t" o:connecttype="rect"/>
              </v:shapetype>
              <v:shape id="Text Box 217" o:spid="_x0000_s1026" type="#_x0000_t202" style="position:absolute;margin-left:422.7pt;margin-top:11.55pt;width:240.5pt;height:46.05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L3AEAIAAB8EAAAOAAAAZHJzL2Uyb0RvYy54bWysU1+P0zAMf0fiO0R5Z+1Gx23VutOxYwjp&#10;+CMdfIAsTdeINA5Otvb49Djpbjcd8ILIQ2THzs/2z/bqeugMOyr0GmzFp5OcM2Ul1NruK/7t6/bV&#10;gjMfhK2FAasq/qA8v16/fLHqXalm0IKpFTICsb7sXcXbEFyZZV62qhN+Ak5ZMjaAnQik4j6rUfSE&#10;3plsludvsh6wdghSeU+vt6ORrxN+0ygZPjeNV4GZilNuId2Y7l28s/VKlHsUrtXylIb4hyw6oS0F&#10;PUPdiiDYAfVvUJ2WCB6aMJHQZdA0WqpUA1UzzZ9Vc98Kp1ItRI53Z5r8/4OVn4737guyMLyFgRqY&#10;ivDuDuR3zyxsWmH36gYR+laJmgJPI2VZ73x5+hqp9qWPILv+I9TUZHEIkICGBrvICtXJCJ0a8HAm&#10;XQ2BSXp8nc+LYlZwJsk2XxRXyzGEKB9/O/ThvYKORaHiSE1N6OJ450PMRpSPLjGYB6PrrTYmKbjf&#10;bQyyo6AB2KaTCnjmZizrK76cz+YjAX+FyNP5E0SnA02y0V3FF2cnUUba3tk6zVkQ2owypWzsicdI&#10;3UhiGHYDOUY+d1A/EKMI48TShpHQAv7krKdprbj/cRCoODMfLHVlOS2KON5JKeZXM1Lw0rK7tAgr&#10;CarigbNR3IS0EpEwCzfUvUYnYp8yOeVKU5j4Pm1MHPNLPXk97fX6FwAAAP//AwBQSwMEFAAGAAgA&#10;AAAhAOg3o47fAAAACwEAAA8AAABkcnMvZG93bnJldi54bWxMj8tOwzAQRfdI/IM1SGwQdR5tKCFO&#10;hZBAdAcFwdaN3STCHgfbTcPfM1nBbh5Hd85Um8kaNmofeocC0kUCTGPjVI+tgPe3x+s1sBAlKmkc&#10;agE/OsCmPj+rZKncCV/1uIstoxAMpRTQxTiUnIem01aGhRs00u7gvJWRWt9y5eWJwq3hWZIU3Moe&#10;6UInB/3Q6eZrd7QC1svn8TNs85ePpjiY23h1Mz59eyEuL6b7O2BRT/EPhlmf1KEmp707ogrMzBmr&#10;JaECsjwFNgN5VtBkT1W6yoDXFf//Q/0LAAD//wMAUEsBAi0AFAAGAAgAAAAhALaDOJL+AAAA4QEA&#10;ABMAAAAAAAAAAAAAAAAAAAAAAFtDb250ZW50X1R5cGVzXS54bWxQSwECLQAUAAYACAAAACEAOP0h&#10;/9YAAACUAQAACwAAAAAAAAAAAAAAAAAvAQAAX3JlbHMvLnJlbHNQSwECLQAUAAYACAAAACEAA6y9&#10;wBACAAAfBAAADgAAAAAAAAAAAAAAAAAuAgAAZHJzL2Uyb0RvYy54bWxQSwECLQAUAAYACAAAACEA&#10;6Dejjt8AAAALAQAADwAAAAAAAAAAAAAAAABqBAAAZHJzL2Rvd25yZXYueG1sUEsFBgAAAAAEAAQA&#10;8wAAAHYFAAAAAA==&#10;">
                <v:textbox>
                  <w:txbxContent>
                    <w:p w14:paraId="598596BA" w14:textId="31978C23" w:rsidR="00277B1F" w:rsidRPr="002E757C" w:rsidRDefault="00F478D8" w:rsidP="002433E8">
                      <w:pPr>
                        <w:spacing w:before="0"/>
                        <w:rPr>
                          <w:szCs w:val="22"/>
                        </w:rPr>
                      </w:pPr>
                      <w:r w:rsidRPr="002E757C">
                        <w:rPr>
                          <w:szCs w:val="22"/>
                        </w:rPr>
                        <w:t>A ratio &gt;1.0 is worse than expected and a ratio &lt;1.0 is better than</w:t>
                      </w:r>
                      <w:r w:rsidR="00306C02" w:rsidRPr="002E757C">
                        <w:rPr>
                          <w:szCs w:val="22"/>
                        </w:rPr>
                        <w:t xml:space="preserve"> </w:t>
                      </w:r>
                      <w:r w:rsidRPr="002E757C">
                        <w:rPr>
                          <w:szCs w:val="22"/>
                        </w:rPr>
                        <w:t>expected.</w:t>
                      </w:r>
                    </w:p>
                  </w:txbxContent>
                </v:textbox>
              </v:shape>
            </w:pict>
          </mc:Fallback>
        </mc:AlternateContent>
      </w:r>
      <w:r w:rsidR="00C20FB4">
        <w:rPr>
          <w:noProof/>
        </w:rPr>
        <w:drawing>
          <wp:inline distT="0" distB="0" distL="0" distR="0" wp14:anchorId="246172FD" wp14:editId="067F49F2">
            <wp:extent cx="8490857" cy="4144488"/>
            <wp:effectExtent l="0" t="0" r="5715" b="8890"/>
            <wp:docPr id="2" name="Chart 2">
              <a:extLst xmlns:a="http://schemas.openxmlformats.org/drawingml/2006/main">
                <a:ext uri="{FF2B5EF4-FFF2-40B4-BE49-F238E27FC236}">
                  <a16:creationId xmlns:a16="http://schemas.microsoft.com/office/drawing/2014/main" id="{680FC335-4959-9BC3-B5B0-D6DEBEA08CF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bookmarkStart w:id="502" w:name="_Toc155105207"/>
    </w:p>
    <w:p w14:paraId="38116CF9" w14:textId="742A98F8" w:rsidR="00F478D8" w:rsidRPr="00C57B50" w:rsidRDefault="007543A5" w:rsidP="00C57B50">
      <w:pPr>
        <w:pStyle w:val="Heading2"/>
        <w:rPr>
          <w:rStyle w:val="Heading3Char"/>
          <w:b/>
          <w:szCs w:val="22"/>
        </w:rPr>
      </w:pPr>
      <w:bookmarkStart w:id="503" w:name="_Toc157413979"/>
      <w:r w:rsidRPr="00C57B50">
        <w:rPr>
          <w:rStyle w:val="Heading3Char"/>
          <w:b/>
          <w:szCs w:val="22"/>
        </w:rPr>
        <w:lastRenderedPageBreak/>
        <w:t>Figure</w:t>
      </w:r>
      <w:r w:rsidR="007125C4" w:rsidRPr="00C57B50">
        <w:rPr>
          <w:rStyle w:val="Heading3Char"/>
          <w:b/>
          <w:szCs w:val="22"/>
        </w:rPr>
        <w:t xml:space="preserve"> 2</w:t>
      </w:r>
      <w:r w:rsidR="008F6BFC" w:rsidRPr="00C57B50">
        <w:rPr>
          <w:rStyle w:val="Heading3Char"/>
          <w:b/>
          <w:szCs w:val="22"/>
        </w:rPr>
        <w:t>:</w:t>
      </w:r>
      <w:r w:rsidR="007125C4" w:rsidRPr="00C57B50">
        <w:rPr>
          <w:rStyle w:val="Heading3Char"/>
          <w:b/>
          <w:szCs w:val="22"/>
        </w:rPr>
        <w:t xml:space="preserve"> </w:t>
      </w:r>
      <w:r w:rsidR="00F478D8" w:rsidRPr="00C57B50">
        <w:rPr>
          <w:rStyle w:val="Heading3Char"/>
          <w:b/>
          <w:szCs w:val="22"/>
        </w:rPr>
        <w:t xml:space="preserve">How does the actual rate of potentially preventable ED visits </w:t>
      </w:r>
      <w:r w:rsidR="00446BD4" w:rsidRPr="00C57B50">
        <w:rPr>
          <w:rStyle w:val="Heading3Char"/>
          <w:b/>
          <w:szCs w:val="22"/>
        </w:rPr>
        <w:t xml:space="preserve">(PPVs) </w:t>
      </w:r>
      <w:r w:rsidR="00F478D8" w:rsidRPr="00C57B50">
        <w:rPr>
          <w:rStyle w:val="Heading3Char"/>
          <w:b/>
          <w:szCs w:val="22"/>
        </w:rPr>
        <w:t xml:space="preserve">for a program population </w:t>
      </w:r>
      <w:proofErr w:type="gramStart"/>
      <w:r w:rsidR="00F478D8" w:rsidRPr="00C57B50">
        <w:rPr>
          <w:rStyle w:val="Heading3Char"/>
          <w:b/>
          <w:szCs w:val="22"/>
        </w:rPr>
        <w:t>compare</w:t>
      </w:r>
      <w:proofErr w:type="gramEnd"/>
      <w:r w:rsidR="00F478D8" w:rsidRPr="00C57B50">
        <w:rPr>
          <w:rStyle w:val="Heading3Char"/>
          <w:b/>
          <w:szCs w:val="22"/>
        </w:rPr>
        <w:t xml:space="preserve"> to the expected rate of PPVs in CY</w:t>
      </w:r>
      <w:r w:rsidR="00446BD4" w:rsidRPr="00C57B50">
        <w:rPr>
          <w:rStyle w:val="Heading3Char"/>
          <w:b/>
          <w:szCs w:val="22"/>
        </w:rPr>
        <w:t xml:space="preserve"> </w:t>
      </w:r>
      <w:r w:rsidR="00F478D8" w:rsidRPr="00C57B50">
        <w:rPr>
          <w:rStyle w:val="Heading3Char"/>
          <w:b/>
          <w:szCs w:val="22"/>
        </w:rPr>
        <w:t>2021</w:t>
      </w:r>
      <w:r w:rsidR="00C20FB4" w:rsidRPr="00C57B50">
        <w:rPr>
          <w:rStyle w:val="Heading3Char"/>
          <w:b/>
          <w:szCs w:val="22"/>
        </w:rPr>
        <w:t xml:space="preserve"> and 2022</w:t>
      </w:r>
      <w:r w:rsidR="00F478D8" w:rsidRPr="00C57B50">
        <w:rPr>
          <w:rStyle w:val="Heading3Char"/>
          <w:b/>
          <w:szCs w:val="22"/>
        </w:rPr>
        <w:t>?</w:t>
      </w:r>
      <w:bookmarkEnd w:id="502"/>
      <w:bookmarkEnd w:id="503"/>
    </w:p>
    <w:p w14:paraId="430DF7EF" w14:textId="1D5F69E7" w:rsidR="00C20FB4" w:rsidRPr="00C20FB4" w:rsidRDefault="00D74998" w:rsidP="00C20FB4">
      <w:pPr>
        <w:pStyle w:val="BodyTextafterheading"/>
      </w:pPr>
      <w:r w:rsidRPr="00A265F6">
        <w:rPr>
          <w:noProof/>
          <w:sz w:val="24"/>
          <w:szCs w:val="24"/>
        </w:rPr>
        <mc:AlternateContent>
          <mc:Choice Requires="wps">
            <w:drawing>
              <wp:anchor distT="45720" distB="45720" distL="114300" distR="114300" simplePos="0" relativeHeight="251658245" behindDoc="0" locked="0" layoutInCell="1" allowOverlap="1" wp14:anchorId="5CA95F04" wp14:editId="034E5C47">
                <wp:simplePos x="0" y="0"/>
                <wp:positionH relativeFrom="column">
                  <wp:posOffset>5280217</wp:posOffset>
                </wp:positionH>
                <wp:positionV relativeFrom="paragraph">
                  <wp:posOffset>160625</wp:posOffset>
                </wp:positionV>
                <wp:extent cx="3054424" cy="584791"/>
                <wp:effectExtent l="0" t="0" r="12700" b="2540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4424" cy="584791"/>
                        </a:xfrm>
                        <a:prstGeom prst="rect">
                          <a:avLst/>
                        </a:prstGeom>
                        <a:solidFill>
                          <a:srgbClr val="FFFFFF"/>
                        </a:solidFill>
                        <a:ln w="9525">
                          <a:solidFill>
                            <a:srgbClr val="000000"/>
                          </a:solidFill>
                          <a:miter lim="800000"/>
                          <a:headEnd/>
                          <a:tailEnd/>
                        </a:ln>
                      </wps:spPr>
                      <wps:txbx>
                        <w:txbxContent>
                          <w:p w14:paraId="4EE94248" w14:textId="77777777" w:rsidR="00D74998" w:rsidRPr="002E757C" w:rsidRDefault="00D74998" w:rsidP="00D74998">
                            <w:pPr>
                              <w:spacing w:before="0"/>
                              <w:rPr>
                                <w:szCs w:val="22"/>
                              </w:rPr>
                            </w:pPr>
                            <w:r w:rsidRPr="002E757C">
                              <w:rPr>
                                <w:szCs w:val="22"/>
                              </w:rPr>
                              <w:t>A ratio &gt;1.0 is worse than expected and a ratio &lt;1.0 is better than expected.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A95F04" id="Text Box 9" o:spid="_x0000_s1027" type="#_x0000_t202" style="position:absolute;margin-left:415.75pt;margin-top:12.65pt;width:240.5pt;height:46.05pt;z-index:25165824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zqcEwIAACYEAAAOAAAAZHJzL2Uyb0RvYy54bWysk82O2yAQx++V+g6Ie2MndbqJFWe1zTZV&#10;pe2HtO0DYMAxKmYokNjbp++Avdlo216qckAMA39mfjNsrodOk5N0XoGp6HyWUyINB6HMoaLfvu5f&#10;rSjxgRnBNBhZ0Qfp6fX25YtNb0u5gBa0kI6giPFlbyvahmDLLPO8lR3zM7DSoLMB17GApjtkwrEe&#10;1TudLfL8TdaDE9YBl97j7u3opNuk3zSSh89N42UguqIYW0izS3Md52y7YeXBMdsqPoXB/iGKjimD&#10;j56lbllg5OjUb1Kd4g48NGHGocugaRSXKQfMZp4/y+a+ZVamXBCOt2dM/v/J8k+ne/vFkTC8hQEL&#10;mJLw9g74d08M7FpmDvLGOehbyQQ+PI/Ist76croaUfvSR5G6/wgCi8yOAZLQ0LguUsE8CapjAR7O&#10;0OUQCMfN1/myKBYFJRx9y1VxtR6fYOXjbet8eC+hI3FRUYdFTersdOdDjIaVj0fiYx60EnuldTLc&#10;od5pR04MG2CfRkrg2TFtSF/R9XKxHAH8VSJP408SnQrYyVp1FV2dD7EyYntnROqzwJQe1xiyNhPH&#10;iG6EGIZ6IEpMkCPWGsQDgnUwNi5+NFy04H5S0mPTVtT/ODInKdEfDBZnPS+K2OXJKJZXCzTcpae+&#10;9DDDUaqigZJxuQvpZ0RuBm6wiI1KfJ8imULGZkzYp48Tu/3STqeevvf2FwAAAP//AwBQSwMEFAAG&#10;AAgAAAAhAMMEpcbfAAAACwEAAA8AAABkcnMvZG93bnJldi54bWxMj8tOwzAQRfdI/IM1SGwQdR59&#10;EeJUCAkEOygItm48TSLscYjdNPw90xXs5nF050y5mZwVIw6h86QgnSUgkGpvOmoUvL89XK9BhKjJ&#10;aOsJFfxggE11flbqwvgjveK4jY3gEAqFVtDG2BdShrpFp8PM90i82/vB6cjt0Egz6COHOyuzJFlK&#10;pzviC63u8b7F+mt7cArW86fxMzznLx/1cm9v4tVqfPwelLq8mO5uQUSc4h8MJ31Wh4qddv5AJgjL&#10;GXm6YFRBtshBnIA8zXiy4ypdzUFWpfz/Q/ULAAD//wMAUEsBAi0AFAAGAAgAAAAhALaDOJL+AAAA&#10;4QEAABMAAAAAAAAAAAAAAAAAAAAAAFtDb250ZW50X1R5cGVzXS54bWxQSwECLQAUAAYACAAAACEA&#10;OP0h/9YAAACUAQAACwAAAAAAAAAAAAAAAAAvAQAAX3JlbHMvLnJlbHNQSwECLQAUAAYACAAAACEA&#10;h3s6nBMCAAAmBAAADgAAAAAAAAAAAAAAAAAuAgAAZHJzL2Uyb0RvYy54bWxQSwECLQAUAAYACAAA&#10;ACEAwwSlxt8AAAALAQAADwAAAAAAAAAAAAAAAABtBAAAZHJzL2Rvd25yZXYueG1sUEsFBgAAAAAE&#10;AAQA8wAAAHkFAAAAAA==&#10;">
                <v:textbox>
                  <w:txbxContent>
                    <w:p w14:paraId="4EE94248" w14:textId="77777777" w:rsidR="00D74998" w:rsidRPr="002E757C" w:rsidRDefault="00D74998" w:rsidP="00D74998">
                      <w:pPr>
                        <w:spacing w:before="0"/>
                        <w:rPr>
                          <w:szCs w:val="22"/>
                        </w:rPr>
                      </w:pPr>
                      <w:r w:rsidRPr="002E757C">
                        <w:rPr>
                          <w:szCs w:val="22"/>
                        </w:rPr>
                        <w:t>A ratio &gt;1.0 is worse than expected and a ratio &lt;1.0 is better than expected.</w:t>
                      </w:r>
                    </w:p>
                  </w:txbxContent>
                </v:textbox>
              </v:shape>
            </w:pict>
          </mc:Fallback>
        </mc:AlternateContent>
      </w:r>
      <w:r w:rsidR="00C20FB4" w:rsidRPr="002E757C">
        <w:rPr>
          <w:noProof/>
          <w:shd w:val="clear" w:color="auto" w:fill="000000" w:themeFill="text2"/>
        </w:rPr>
        <w:drawing>
          <wp:inline distT="0" distB="0" distL="0" distR="0" wp14:anchorId="63173FCA" wp14:editId="3B79AD5E">
            <wp:extent cx="8430895" cy="4306186"/>
            <wp:effectExtent l="0" t="0" r="8255" b="0"/>
            <wp:docPr id="17" name="Chart 17">
              <a:extLst xmlns:a="http://schemas.openxmlformats.org/drawingml/2006/main">
                <a:ext uri="{FF2B5EF4-FFF2-40B4-BE49-F238E27FC236}">
                  <a16:creationId xmlns:a16="http://schemas.microsoft.com/office/drawing/2014/main" id="{8E6D034C-D6BB-4913-AD5D-8F65F203B31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72A10E45" w14:textId="6D485971" w:rsidR="007947FD" w:rsidRPr="00C07BB1" w:rsidRDefault="00D62699" w:rsidP="00C07BB1">
      <w:pPr>
        <w:pStyle w:val="BodyText"/>
        <w:spacing w:before="0"/>
        <w:rPr>
          <w:sz w:val="24"/>
          <w:szCs w:val="24"/>
        </w:rPr>
        <w:sectPr w:rsidR="007947FD" w:rsidRPr="00C07BB1" w:rsidSect="003B09DD">
          <w:pgSz w:w="15840" w:h="12240" w:orient="landscape"/>
          <w:pgMar w:top="1350" w:right="990" w:bottom="1440" w:left="1440" w:header="202" w:footer="720" w:gutter="0"/>
          <w:cols w:space="720"/>
          <w:docGrid w:linePitch="360"/>
        </w:sectPr>
      </w:pPr>
      <w:r>
        <w:rPr>
          <w:noProof/>
          <w:sz w:val="24"/>
          <w:szCs w:val="24"/>
        </w:rPr>
        <mc:AlternateContent>
          <mc:Choice Requires="wps">
            <w:drawing>
              <wp:anchor distT="0" distB="0" distL="114300" distR="114300" simplePos="0" relativeHeight="251658242" behindDoc="0" locked="0" layoutInCell="1" allowOverlap="1" wp14:anchorId="145B11A1" wp14:editId="42005D60">
                <wp:simplePos x="0" y="0"/>
                <wp:positionH relativeFrom="margin">
                  <wp:posOffset>199390</wp:posOffset>
                </wp:positionH>
                <wp:positionV relativeFrom="paragraph">
                  <wp:posOffset>3896995</wp:posOffset>
                </wp:positionV>
                <wp:extent cx="6181725" cy="0"/>
                <wp:effectExtent l="0" t="0" r="0" b="0"/>
                <wp:wrapNone/>
                <wp:docPr id="7" name="Straight Connector 7"/>
                <wp:cNvGraphicFramePr/>
                <a:graphic xmlns:a="http://schemas.openxmlformats.org/drawingml/2006/main">
                  <a:graphicData uri="http://schemas.microsoft.com/office/word/2010/wordprocessingShape">
                    <wps:wsp>
                      <wps:cNvCnPr/>
                      <wps:spPr>
                        <a:xfrm>
                          <a:off x="0" y="0"/>
                          <a:ext cx="6181725" cy="0"/>
                        </a:xfrm>
                        <a:prstGeom prst="line">
                          <a:avLst/>
                        </a:prstGeom>
                        <a:ln w="19050" cap="flat" cmpd="sng" algn="ctr">
                          <a:solidFill>
                            <a:srgbClr val="0070C0"/>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3A9B21B" id="Straight Connector 7" o:spid="_x0000_s1026" style="position:absolute;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5.7pt,306.85pt" to="502.45pt,30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S7DBAIAAH8EAAAOAAAAZHJzL2Uyb0RvYy54bWysVMlu2zAQvRfoPxC815INZKlgOQe76aVo&#10;gzb9AJocSgS4gWQs6+87pGS5y6UpeqFH5GzvzRtvH85GkxOEqJxt6XpVUwKWO6Fs19Lvz4/v7imJ&#10;iVnBtLPQ0hEifdi9fbMdfAMb1zstIBBMYmMz+Jb2KfmmqiLvwbC4ch4sPkoXDEv4GbpKBDZgdqOr&#10;TV3fVoMLwgfHIUa8PUyPdFfySwk8fZEyQiK6pdhbKmco5zGf1W7Lmi4w3ys+t8H+oQvDlMWiS6oD&#10;S4y8BPVHKqN4cNHJtOLOVE5KxaFgQDTr+jc033rmoWBBcqJfaIr/Ly3/fNrbp4A0DD420T+FjOIs&#10;g8m/2B85F7LGhSw4J8Lx8nZ9v77b3FDCL2/VNdCHmD6CMyQbLdXKZhysYadPMWExdL245GttyYDq&#10;eV/f4Iw4Qx1IzRKaxouWRttRwnSHAuMplDzRaSUeldY5OobuuNeBnFgecn1X78tcscYvbrnggcV+&#10;8hNoTdMP7sWKooMemPhgBUmjR6laFCzNfRkQlGjA8tkqnokp/Tee2IO2CPdKbrHSqGHC/RUkUaJw&#10;XKDwGcskUdwhJOQi1JIMA7KjROyvjJ1DcjSUzXhl/BJU6jublnijrJvnkvcWlmGk8zrzhY3Lyf9C&#10;xURA5uLoxFj0VzhClRf3eSPzGv38XcKv/xu7HwAAAP//AwBQSwMEFAAGAAgAAAAhAGnwgJjdAAAA&#10;CwEAAA8AAABkcnMvZG93bnJldi54bWxMj1FLwzAQx98Fv0M4wTeXtCut1qZjDAR9UZzic9acbWdy&#10;KUm21W9vBoI+3t2f3/3+zWq2hh3Rh9GRhGwhgCF1To/US3h/e7i5BRaiIq2MI5TwjQFW7eVFo2rt&#10;TvSKx23sWYJQqJWEIcap5jx0A1oVFm5CSrdP562KafQ9116dEtwangtRcqtGSh8GNeFmwO5re7CJ&#10;UpS+ov3zR6Xd0/7FPOab9ZxLeX01r++BRZzjXxjO+kkd2uS0cwfSgRkJy6xISQlltqyAnQNCFHfA&#10;dr8r3jb8f4f2BwAA//8DAFBLAQItABQABgAIAAAAIQC2gziS/gAAAOEBAAATAAAAAAAAAAAAAAAA&#10;AAAAAABbQ29udGVudF9UeXBlc10ueG1sUEsBAi0AFAAGAAgAAAAhADj9If/WAAAAlAEAAAsAAAAA&#10;AAAAAAAAAAAALwEAAF9yZWxzLy5yZWxzUEsBAi0AFAAGAAgAAAAhAOqxLsMEAgAAfwQAAA4AAAAA&#10;AAAAAAAAAAAALgIAAGRycy9lMm9Eb2MueG1sUEsBAi0AFAAGAAgAAAAhAGnwgJjdAAAACwEAAA8A&#10;AAAAAAAAAAAAAAAAXgQAAGRycy9kb3ducmV2LnhtbFBLBQYAAAAABAAEAPMAAABoBQAAAAA=&#10;" strokecolor="#0070c0" strokeweight="1.5pt">
                <v:stroke dashstyle="dash"/>
                <w10:wrap anchorx="margin"/>
              </v:line>
            </w:pict>
          </mc:Fallback>
        </mc:AlternateContent>
      </w:r>
    </w:p>
    <w:p w14:paraId="33935060" w14:textId="266EC2BD" w:rsidR="007947FD" w:rsidRPr="00115245" w:rsidRDefault="007543A5" w:rsidP="002E757C">
      <w:pPr>
        <w:pStyle w:val="Heading2"/>
        <w:spacing w:before="0" w:after="0"/>
        <w:rPr>
          <w:b w:val="0"/>
          <w:bCs/>
          <w:sz w:val="28"/>
          <w:szCs w:val="28"/>
        </w:rPr>
      </w:pPr>
      <w:bookmarkStart w:id="504" w:name="_Toc155105208"/>
      <w:bookmarkStart w:id="505" w:name="_Toc156487096"/>
      <w:bookmarkStart w:id="506" w:name="_Toc157413980"/>
      <w:r w:rsidRPr="003B09DD">
        <w:rPr>
          <w:sz w:val="28"/>
          <w:szCs w:val="28"/>
        </w:rPr>
        <w:lastRenderedPageBreak/>
        <w:t>Figure</w:t>
      </w:r>
      <w:r w:rsidR="007125C4" w:rsidRPr="003B09DD">
        <w:rPr>
          <w:sz w:val="28"/>
          <w:szCs w:val="28"/>
        </w:rPr>
        <w:t xml:space="preserve"> 3</w:t>
      </w:r>
      <w:r w:rsidR="008F6BFC">
        <w:rPr>
          <w:sz w:val="28"/>
          <w:szCs w:val="28"/>
        </w:rPr>
        <w:t>:</w:t>
      </w:r>
      <w:r w:rsidR="007125C4" w:rsidRPr="003B09DD">
        <w:rPr>
          <w:sz w:val="28"/>
          <w:szCs w:val="28"/>
        </w:rPr>
        <w:t xml:space="preserve"> </w:t>
      </w:r>
      <w:r w:rsidR="007947FD" w:rsidRPr="003B09DD">
        <w:rPr>
          <w:sz w:val="28"/>
          <w:szCs w:val="28"/>
        </w:rPr>
        <w:t>How</w:t>
      </w:r>
      <w:r w:rsidR="007947FD" w:rsidRPr="00115245">
        <w:rPr>
          <w:b w:val="0"/>
          <w:bCs/>
          <w:sz w:val="28"/>
          <w:szCs w:val="28"/>
        </w:rPr>
        <w:t xml:space="preserve"> </w:t>
      </w:r>
      <w:r w:rsidR="004D3873">
        <w:rPr>
          <w:sz w:val="28"/>
          <w:szCs w:val="28"/>
        </w:rPr>
        <w:t>do</w:t>
      </w:r>
      <w:r w:rsidR="007947FD" w:rsidRPr="00B37721">
        <w:rPr>
          <w:sz w:val="28"/>
          <w:szCs w:val="28"/>
        </w:rPr>
        <w:t xml:space="preserve"> TIPPS program population rates compare to statewide Medicaid performance</w:t>
      </w:r>
      <w:r w:rsidR="00F478D8" w:rsidRPr="00B37721">
        <w:rPr>
          <w:sz w:val="28"/>
          <w:szCs w:val="28"/>
        </w:rPr>
        <w:t xml:space="preserve"> in CY</w:t>
      </w:r>
      <w:r w:rsidR="000F13CD" w:rsidRPr="00B37721">
        <w:rPr>
          <w:sz w:val="28"/>
          <w:szCs w:val="28"/>
        </w:rPr>
        <w:t xml:space="preserve"> </w:t>
      </w:r>
      <w:r w:rsidR="00F478D8" w:rsidRPr="00B37721">
        <w:rPr>
          <w:sz w:val="28"/>
          <w:szCs w:val="28"/>
        </w:rPr>
        <w:t>2021</w:t>
      </w:r>
      <w:r w:rsidR="00115245" w:rsidRPr="00B37721">
        <w:rPr>
          <w:sz w:val="28"/>
          <w:szCs w:val="28"/>
        </w:rPr>
        <w:t xml:space="preserve"> and 2022</w:t>
      </w:r>
      <w:r w:rsidR="007947FD" w:rsidRPr="00B37721">
        <w:rPr>
          <w:sz w:val="28"/>
          <w:szCs w:val="28"/>
        </w:rPr>
        <w:t>?</w:t>
      </w:r>
      <w:bookmarkEnd w:id="504"/>
      <w:bookmarkEnd w:id="505"/>
      <w:r w:rsidR="004D3873">
        <w:rPr>
          <w:rStyle w:val="FootnoteReference"/>
          <w:sz w:val="28"/>
          <w:szCs w:val="28"/>
        </w:rPr>
        <w:footnoteReference w:id="12"/>
      </w:r>
      <w:bookmarkEnd w:id="506"/>
    </w:p>
    <w:p w14:paraId="1966FA33" w14:textId="543E4063" w:rsidR="007947FD" w:rsidRDefault="00CD75E0" w:rsidP="002E757C">
      <w:pPr>
        <w:pStyle w:val="BodyText"/>
        <w:spacing w:before="0"/>
      </w:pPr>
      <w:r w:rsidRPr="00A265F6">
        <w:rPr>
          <w:noProof/>
          <w:sz w:val="24"/>
          <w:szCs w:val="24"/>
        </w:rPr>
        <mc:AlternateContent>
          <mc:Choice Requires="wps">
            <w:drawing>
              <wp:anchor distT="45720" distB="45720" distL="114300" distR="114300" simplePos="0" relativeHeight="251658243" behindDoc="0" locked="0" layoutInCell="1" allowOverlap="1" wp14:anchorId="784D158D" wp14:editId="173AD1B5">
                <wp:simplePos x="0" y="0"/>
                <wp:positionH relativeFrom="column">
                  <wp:posOffset>-9303</wp:posOffset>
                </wp:positionH>
                <wp:positionV relativeFrom="paragraph">
                  <wp:posOffset>1749322</wp:posOffset>
                </wp:positionV>
                <wp:extent cx="3086100" cy="590550"/>
                <wp:effectExtent l="0" t="0" r="19050" b="19050"/>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590550"/>
                        </a:xfrm>
                        <a:prstGeom prst="rect">
                          <a:avLst/>
                        </a:prstGeom>
                        <a:solidFill>
                          <a:srgbClr val="FFFFFF"/>
                        </a:solidFill>
                        <a:ln w="9525">
                          <a:solidFill>
                            <a:srgbClr val="000000"/>
                          </a:solidFill>
                          <a:miter lim="800000"/>
                          <a:headEnd/>
                          <a:tailEnd/>
                        </a:ln>
                      </wps:spPr>
                      <wps:txbx>
                        <w:txbxContent>
                          <w:p w14:paraId="531CD328" w14:textId="444E66B6" w:rsidR="002433E8" w:rsidRPr="002433E8" w:rsidRDefault="002433E8" w:rsidP="00CD75E0">
                            <w:pPr>
                              <w:spacing w:before="0"/>
                              <w:rPr>
                                <w:sz w:val="18"/>
                                <w:szCs w:val="18"/>
                              </w:rPr>
                            </w:pPr>
                            <w:r>
                              <w:rPr>
                                <w:sz w:val="18"/>
                                <w:szCs w:val="18"/>
                              </w:rPr>
                              <w:t>Positive numbers indicate the DPP rate was better than the statewide Medicaid rate, negative numbers indicate the DPP rate was worse.</w:t>
                            </w:r>
                            <w:r w:rsidRPr="002433E8">
                              <w:rPr>
                                <w:sz w:val="18"/>
                                <w:szCs w:val="18"/>
                              </w:rPr>
                              <w:b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4D158D" id="Text Box 24" o:spid="_x0000_s1028" type="#_x0000_t202" style="position:absolute;margin-left:-.75pt;margin-top:137.75pt;width:243pt;height:46.5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tUxFAIAACYEAAAOAAAAZHJzL2Uyb0RvYy54bWysU1+P0zAMf0fiO0R5Z+3GdmzVutOxYwjp&#10;+CMdfAA3TdeINA5Jtvb49Djpbjcd8ILIQ2THzs/2z/b6eug0O0rnFZqSTyc5Z9IIrJXZl/zb192r&#10;JWc+gKlBo5Elf5CeX29evlj3tpAzbFHX0jECMb7obcnbEGyRZV60sgM/QSsNGRt0HQRS3T6rHfSE&#10;3ulsludXWY+utg6F9J5eb0cj3yT8ppEifG4aLwPTJafcQrpduqt4Z5s1FHsHtlXilAb8QxYdKENB&#10;z1C3EIAdnPoNqlPCoccmTAR2GTaNEjLVQNVM82fV3LdgZaqFyPH2TJP/f7Di0/HefnEsDG9xoAam&#10;Iry9Q/HdM4PbFsxe3jiHfSuhpsDTSFnWW1+cvkaqfeEjSNV/xJqaDIeACWhoXBdZoToZoVMDHs6k&#10;yyEwQY+v8+XVNCeTINtilS8WqSsZFI+/rfPhvcSORaHkjpqa0OF450PMBopHlxjMo1b1TmmdFLev&#10;ttqxI9AA7NJJBTxz04b1JV8tZouRgL9C5On8CaJTgSZZq67ky7MTFJG2d6ZOcxZA6VGmlLU58Rip&#10;G0kMQzUwVZd8FgNEWiusH4hYh+Pg0qKR0KL7yVlPQ1ty/+MATnKmPxhqzmo6n8cpT8p88WZGiru0&#10;VJcWMIKgSh44G8VtSJsReTN4Q01sVOL3KZNTyjSMifbT4sRpv9ST19N6b34BAAD//wMAUEsDBBQA&#10;BgAIAAAAIQDmVdPX4QAAAAoBAAAPAAAAZHJzL2Rvd25yZXYueG1sTI/LTsMwEEX3SPyDNUhsUOu0&#10;TdIQMqkQEgh2UKqydWM3ifAj2G4a/p5hBbs7mqM7Z6rNZDQblQ+9swiLeQJM2cbJ3rYIu/fHWQEs&#10;RGGl0M4qhG8VYFNfXlSilO5s39S4jS2jEhtKgdDFOJSch6ZTRoS5G5Sl3dF5IyKNvuXSizOVG82X&#10;SZJzI3pLFzoxqIdONZ/bk0Eo0ufxI7ysXvdNftS38WY9Pn15xOur6f4OWFRT/IPhV5/UoSangztZ&#10;GZhGmC0yIhGW64wCAWmRUjggrPIiA15X/P8L9Q8AAAD//wMAUEsBAi0AFAAGAAgAAAAhALaDOJL+&#10;AAAA4QEAABMAAAAAAAAAAAAAAAAAAAAAAFtDb250ZW50X1R5cGVzXS54bWxQSwECLQAUAAYACAAA&#10;ACEAOP0h/9YAAACUAQAACwAAAAAAAAAAAAAAAAAvAQAAX3JlbHMvLnJlbHNQSwECLQAUAAYACAAA&#10;ACEACdLVMRQCAAAmBAAADgAAAAAAAAAAAAAAAAAuAgAAZHJzL2Uyb0RvYy54bWxQSwECLQAUAAYA&#10;CAAAACEA5lXT1+EAAAAKAQAADwAAAAAAAAAAAAAAAABuBAAAZHJzL2Rvd25yZXYueG1sUEsFBgAA&#10;AAAEAAQA8wAAAHwFAAAAAA==&#10;">
                <v:textbox>
                  <w:txbxContent>
                    <w:p w14:paraId="531CD328" w14:textId="444E66B6" w:rsidR="002433E8" w:rsidRPr="002433E8" w:rsidRDefault="002433E8" w:rsidP="00CD75E0">
                      <w:pPr>
                        <w:spacing w:before="0"/>
                        <w:rPr>
                          <w:sz w:val="18"/>
                          <w:szCs w:val="18"/>
                        </w:rPr>
                      </w:pPr>
                      <w:r>
                        <w:rPr>
                          <w:sz w:val="18"/>
                          <w:szCs w:val="18"/>
                        </w:rPr>
                        <w:t>Positive numbers indicate the DPP rate was better than the statewide Medicaid rate, negative numbers indicate the DPP rate was worse.</w:t>
                      </w:r>
                      <w:r w:rsidRPr="002433E8">
                        <w:rPr>
                          <w:sz w:val="18"/>
                          <w:szCs w:val="18"/>
                        </w:rPr>
                        <w:br/>
                      </w:r>
                    </w:p>
                  </w:txbxContent>
                </v:textbox>
              </v:shape>
            </w:pict>
          </mc:Fallback>
        </mc:AlternateContent>
      </w:r>
      <w:r>
        <w:rPr>
          <w:noProof/>
        </w:rPr>
        <w:drawing>
          <wp:inline distT="0" distB="0" distL="0" distR="0" wp14:anchorId="7A77929A" wp14:editId="4CFAECF9">
            <wp:extent cx="11791315" cy="2459421"/>
            <wp:effectExtent l="0" t="0" r="635" b="0"/>
            <wp:docPr id="4" name="Chart 4">
              <a:extLst xmlns:a="http://schemas.openxmlformats.org/drawingml/2006/main">
                <a:ext uri="{FF2B5EF4-FFF2-40B4-BE49-F238E27FC236}">
                  <a16:creationId xmlns:a16="http://schemas.microsoft.com/office/drawing/2014/main" id="{E77489AD-652E-2A15-4636-D94E821673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7338F532" w14:textId="6DBEA332" w:rsidR="00CC0651" w:rsidRPr="00C57B50" w:rsidRDefault="00672269" w:rsidP="00C57B50">
      <w:pPr>
        <w:pStyle w:val="Heading2"/>
        <w:spacing w:before="120" w:after="0"/>
        <w:rPr>
          <w:sz w:val="28"/>
          <w:szCs w:val="22"/>
        </w:rPr>
      </w:pPr>
      <w:bookmarkStart w:id="507" w:name="_Toc157413981"/>
      <w:r w:rsidRPr="00C57B50">
        <w:rPr>
          <w:sz w:val="28"/>
          <w:szCs w:val="22"/>
        </w:rPr>
        <w:t>Figure 4:</w:t>
      </w:r>
      <w:r w:rsidR="00C57B50" w:rsidRPr="00C57B50">
        <w:rPr>
          <w:sz w:val="28"/>
          <w:szCs w:val="22"/>
        </w:rPr>
        <w:t xml:space="preserve"> </w:t>
      </w:r>
      <w:r w:rsidR="00CC0651" w:rsidRPr="00C57B50">
        <w:rPr>
          <w:sz w:val="28"/>
          <w:szCs w:val="22"/>
        </w:rPr>
        <w:t>TIPPS program population rates CY202</w:t>
      </w:r>
      <w:r w:rsidR="004D3873" w:rsidRPr="00C57B50">
        <w:rPr>
          <w:sz w:val="28"/>
          <w:szCs w:val="22"/>
        </w:rPr>
        <w:t>1</w:t>
      </w:r>
      <w:r w:rsidR="00CC0651" w:rsidRPr="00C57B50">
        <w:rPr>
          <w:sz w:val="28"/>
          <w:szCs w:val="22"/>
        </w:rPr>
        <w:t xml:space="preserve"> </w:t>
      </w:r>
      <w:r w:rsidR="00C57B50" w:rsidRPr="00C57B50">
        <w:rPr>
          <w:sz w:val="28"/>
          <w:szCs w:val="22"/>
        </w:rPr>
        <w:t>-</w:t>
      </w:r>
      <w:r w:rsidR="00CC0651" w:rsidRPr="00C57B50">
        <w:rPr>
          <w:sz w:val="28"/>
          <w:szCs w:val="22"/>
        </w:rPr>
        <w:t xml:space="preserve"> 202</w:t>
      </w:r>
      <w:r w:rsidR="004D3873" w:rsidRPr="00C57B50">
        <w:rPr>
          <w:sz w:val="28"/>
          <w:szCs w:val="22"/>
        </w:rPr>
        <w:t>2</w:t>
      </w:r>
      <w:bookmarkEnd w:id="507"/>
    </w:p>
    <w:p w14:paraId="0BE0F059" w14:textId="46AA815A" w:rsidR="00CC0651" w:rsidRDefault="00CC0651" w:rsidP="002E757C">
      <w:pPr>
        <w:pStyle w:val="BodyText"/>
        <w:spacing w:before="0"/>
      </w:pPr>
      <w:r w:rsidRPr="002E757C">
        <w:rPr>
          <w:noProof/>
          <w:shd w:val="clear" w:color="auto" w:fill="000000" w:themeFill="text2"/>
        </w:rPr>
        <w:drawing>
          <wp:inline distT="0" distB="0" distL="0" distR="0" wp14:anchorId="16312454" wp14:editId="717212E9">
            <wp:extent cx="11791315" cy="2254103"/>
            <wp:effectExtent l="0" t="0" r="635" b="0"/>
            <wp:docPr id="11" name="Chart 11">
              <a:extLst xmlns:a="http://schemas.openxmlformats.org/drawingml/2006/main">
                <a:ext uri="{FF2B5EF4-FFF2-40B4-BE49-F238E27FC236}">
                  <a16:creationId xmlns:a16="http://schemas.microsoft.com/office/drawing/2014/main" id="{07369495-5AB0-4994-AB5D-620E8309ACC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2D13C07" w14:textId="635262EA" w:rsidR="007947FD" w:rsidRPr="003B09DD" w:rsidRDefault="007543A5" w:rsidP="002E757C">
      <w:pPr>
        <w:pStyle w:val="Heading2"/>
        <w:spacing w:before="0" w:after="0"/>
        <w:rPr>
          <w:sz w:val="28"/>
          <w:szCs w:val="28"/>
        </w:rPr>
      </w:pPr>
      <w:bookmarkStart w:id="508" w:name="_Toc155105209"/>
      <w:bookmarkStart w:id="509" w:name="_Toc156487097"/>
      <w:bookmarkStart w:id="510" w:name="_Toc157413982"/>
      <w:r w:rsidRPr="003B09DD">
        <w:rPr>
          <w:sz w:val="28"/>
          <w:szCs w:val="28"/>
        </w:rPr>
        <w:lastRenderedPageBreak/>
        <w:t>Figure</w:t>
      </w:r>
      <w:r w:rsidR="007125C4" w:rsidRPr="003B09DD">
        <w:rPr>
          <w:sz w:val="28"/>
          <w:szCs w:val="28"/>
        </w:rPr>
        <w:t xml:space="preserve"> </w:t>
      </w:r>
      <w:r w:rsidR="00672269">
        <w:rPr>
          <w:sz w:val="28"/>
          <w:szCs w:val="28"/>
        </w:rPr>
        <w:t>5</w:t>
      </w:r>
      <w:r w:rsidR="008F6BFC">
        <w:rPr>
          <w:sz w:val="28"/>
          <w:szCs w:val="28"/>
        </w:rPr>
        <w:t>:</w:t>
      </w:r>
      <w:r w:rsidR="007125C4" w:rsidRPr="003B09DD">
        <w:rPr>
          <w:sz w:val="28"/>
          <w:szCs w:val="28"/>
        </w:rPr>
        <w:t xml:space="preserve"> </w:t>
      </w:r>
      <w:r w:rsidR="007947FD" w:rsidRPr="003B09DD">
        <w:rPr>
          <w:sz w:val="28"/>
          <w:szCs w:val="28"/>
        </w:rPr>
        <w:t xml:space="preserve">How </w:t>
      </w:r>
      <w:r w:rsidR="004D3873">
        <w:rPr>
          <w:sz w:val="28"/>
          <w:szCs w:val="28"/>
        </w:rPr>
        <w:t>do</w:t>
      </w:r>
      <w:r w:rsidR="007947FD" w:rsidRPr="003B09DD">
        <w:rPr>
          <w:sz w:val="28"/>
          <w:szCs w:val="28"/>
        </w:rPr>
        <w:t xml:space="preserve"> DPP BHS program population rates compare to statewide Medicaid performance</w:t>
      </w:r>
      <w:r w:rsidR="00F478D8" w:rsidRPr="003B09DD">
        <w:rPr>
          <w:sz w:val="28"/>
          <w:szCs w:val="28"/>
        </w:rPr>
        <w:t xml:space="preserve"> in CY</w:t>
      </w:r>
      <w:r w:rsidR="000F13CD" w:rsidRPr="003B09DD">
        <w:rPr>
          <w:sz w:val="28"/>
          <w:szCs w:val="28"/>
        </w:rPr>
        <w:t xml:space="preserve"> </w:t>
      </w:r>
      <w:r w:rsidR="00F478D8" w:rsidRPr="003B09DD">
        <w:rPr>
          <w:sz w:val="28"/>
          <w:szCs w:val="28"/>
        </w:rPr>
        <w:t>2021</w:t>
      </w:r>
      <w:r w:rsidR="00115245">
        <w:rPr>
          <w:sz w:val="28"/>
          <w:szCs w:val="28"/>
        </w:rPr>
        <w:t xml:space="preserve"> and 2022</w:t>
      </w:r>
      <w:r w:rsidR="007947FD" w:rsidRPr="003B09DD">
        <w:rPr>
          <w:sz w:val="28"/>
          <w:szCs w:val="28"/>
        </w:rPr>
        <w:t>?</w:t>
      </w:r>
      <w:bookmarkEnd w:id="508"/>
      <w:bookmarkEnd w:id="509"/>
      <w:r w:rsidR="004D3873">
        <w:rPr>
          <w:rStyle w:val="FootnoteReference"/>
          <w:sz w:val="28"/>
          <w:szCs w:val="28"/>
        </w:rPr>
        <w:footnoteReference w:id="13"/>
      </w:r>
      <w:bookmarkEnd w:id="510"/>
      <w:r w:rsidR="00C07BB1" w:rsidRPr="003B09DD">
        <w:rPr>
          <w:sz w:val="28"/>
          <w:szCs w:val="28"/>
        </w:rPr>
        <w:t xml:space="preserve"> </w:t>
      </w:r>
    </w:p>
    <w:p w14:paraId="1E993792" w14:textId="1EC1115E" w:rsidR="007947FD" w:rsidRDefault="00CD75E0" w:rsidP="002E757C">
      <w:pPr>
        <w:pStyle w:val="BodyText"/>
        <w:spacing w:before="0"/>
      </w:pPr>
      <w:r>
        <w:rPr>
          <w:noProof/>
        </w:rPr>
        <w:drawing>
          <wp:inline distT="0" distB="0" distL="0" distR="0" wp14:anchorId="6FC4054F" wp14:editId="5BD0DD91">
            <wp:extent cx="11961495" cy="2413590"/>
            <wp:effectExtent l="0" t="0" r="1905" b="6350"/>
            <wp:docPr id="20" name="Chart 20">
              <a:extLst xmlns:a="http://schemas.openxmlformats.org/drawingml/2006/main">
                <a:ext uri="{FF2B5EF4-FFF2-40B4-BE49-F238E27FC236}">
                  <a16:creationId xmlns:a16="http://schemas.microsoft.com/office/drawing/2014/main" id="{2780AB4F-4AC2-4EF6-ABA6-9D32901B134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B79C9DD" w14:textId="14D00CB4" w:rsidR="00CC0651" w:rsidRDefault="00672269" w:rsidP="002E757C">
      <w:pPr>
        <w:pStyle w:val="Heading2"/>
        <w:spacing w:after="0"/>
        <w:rPr>
          <w:sz w:val="28"/>
          <w:szCs w:val="28"/>
        </w:rPr>
      </w:pPr>
      <w:bookmarkStart w:id="511" w:name="_Toc157413983"/>
      <w:bookmarkStart w:id="512" w:name="_Toc155105210"/>
      <w:bookmarkStart w:id="513" w:name="_Toc156487098"/>
      <w:r>
        <w:rPr>
          <w:sz w:val="28"/>
          <w:szCs w:val="28"/>
        </w:rPr>
        <w:t xml:space="preserve">Figure 6: </w:t>
      </w:r>
      <w:r w:rsidR="00CC0651" w:rsidRPr="00CC0651">
        <w:rPr>
          <w:sz w:val="28"/>
          <w:szCs w:val="28"/>
        </w:rPr>
        <w:t xml:space="preserve">DPP BHS program population </w:t>
      </w:r>
      <w:r w:rsidR="00C57B50">
        <w:rPr>
          <w:sz w:val="28"/>
          <w:szCs w:val="28"/>
        </w:rPr>
        <w:t>CY2021 - 2022</w:t>
      </w:r>
      <w:bookmarkEnd w:id="511"/>
    </w:p>
    <w:p w14:paraId="3B0BBDE9" w14:textId="6245E361" w:rsidR="00CC0651" w:rsidRPr="00CC0651" w:rsidRDefault="00CC0651" w:rsidP="004D3873">
      <w:pPr>
        <w:pStyle w:val="BodyTextafterheading"/>
      </w:pPr>
      <w:r>
        <w:rPr>
          <w:noProof/>
        </w:rPr>
        <w:drawing>
          <wp:inline distT="0" distB="0" distL="0" distR="0" wp14:anchorId="2E30E70B" wp14:editId="11B2E89A">
            <wp:extent cx="11961495" cy="2264735"/>
            <wp:effectExtent l="0" t="0" r="1905" b="2540"/>
            <wp:docPr id="14" name="Chart 14">
              <a:extLst xmlns:a="http://schemas.openxmlformats.org/drawingml/2006/main">
                <a:ext uri="{FF2B5EF4-FFF2-40B4-BE49-F238E27FC236}">
                  <a16:creationId xmlns:a16="http://schemas.microsoft.com/office/drawing/2014/main" id="{82A00764-F119-4091-8B47-B108C2EE32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2442B22" w14:textId="3ABB266C" w:rsidR="007947FD" w:rsidRPr="00672269" w:rsidRDefault="007543A5" w:rsidP="002E757C">
      <w:pPr>
        <w:pStyle w:val="Heading2"/>
        <w:spacing w:before="0" w:after="0"/>
        <w:rPr>
          <w:sz w:val="28"/>
          <w:szCs w:val="28"/>
        </w:rPr>
      </w:pPr>
      <w:bookmarkStart w:id="514" w:name="_Toc157413984"/>
      <w:r w:rsidRPr="00672269">
        <w:rPr>
          <w:sz w:val="28"/>
          <w:szCs w:val="28"/>
        </w:rPr>
        <w:lastRenderedPageBreak/>
        <w:t>Figure</w:t>
      </w:r>
      <w:r w:rsidR="007125C4" w:rsidRPr="00672269">
        <w:rPr>
          <w:sz w:val="28"/>
          <w:szCs w:val="28"/>
        </w:rPr>
        <w:t xml:space="preserve"> </w:t>
      </w:r>
      <w:r w:rsidR="00672269" w:rsidRPr="00672269">
        <w:rPr>
          <w:sz w:val="28"/>
          <w:szCs w:val="28"/>
        </w:rPr>
        <w:t>7</w:t>
      </w:r>
      <w:r w:rsidR="008F6BFC" w:rsidRPr="00672269">
        <w:rPr>
          <w:sz w:val="28"/>
          <w:szCs w:val="28"/>
        </w:rPr>
        <w:t>:</w:t>
      </w:r>
      <w:r w:rsidR="007125C4" w:rsidRPr="00672269">
        <w:rPr>
          <w:sz w:val="28"/>
          <w:szCs w:val="28"/>
        </w:rPr>
        <w:t xml:space="preserve"> </w:t>
      </w:r>
      <w:r w:rsidR="007947FD" w:rsidRPr="00672269">
        <w:rPr>
          <w:sz w:val="28"/>
          <w:szCs w:val="28"/>
        </w:rPr>
        <w:t xml:space="preserve">How </w:t>
      </w:r>
      <w:r w:rsidR="004D3873">
        <w:rPr>
          <w:sz w:val="28"/>
          <w:szCs w:val="28"/>
        </w:rPr>
        <w:t>do</w:t>
      </w:r>
      <w:r w:rsidR="007947FD" w:rsidRPr="00672269">
        <w:rPr>
          <w:sz w:val="28"/>
          <w:szCs w:val="28"/>
        </w:rPr>
        <w:t xml:space="preserve"> RAPPS program population rates compare to statewide Medicaid performance</w:t>
      </w:r>
      <w:r w:rsidR="00F478D8" w:rsidRPr="00672269">
        <w:rPr>
          <w:sz w:val="28"/>
          <w:szCs w:val="28"/>
        </w:rPr>
        <w:t xml:space="preserve"> in CY</w:t>
      </w:r>
      <w:r w:rsidR="000F13CD" w:rsidRPr="00672269">
        <w:rPr>
          <w:sz w:val="28"/>
          <w:szCs w:val="28"/>
        </w:rPr>
        <w:t xml:space="preserve"> </w:t>
      </w:r>
      <w:r w:rsidR="00F478D8" w:rsidRPr="00672269">
        <w:rPr>
          <w:sz w:val="28"/>
          <w:szCs w:val="28"/>
        </w:rPr>
        <w:t>2021</w:t>
      </w:r>
      <w:r w:rsidR="00115245" w:rsidRPr="00672269">
        <w:rPr>
          <w:sz w:val="28"/>
          <w:szCs w:val="28"/>
        </w:rPr>
        <w:t xml:space="preserve"> and 2022</w:t>
      </w:r>
      <w:r w:rsidR="007947FD" w:rsidRPr="00672269">
        <w:rPr>
          <w:sz w:val="28"/>
          <w:szCs w:val="28"/>
        </w:rPr>
        <w:t>?</w:t>
      </w:r>
      <w:bookmarkEnd w:id="512"/>
      <w:bookmarkEnd w:id="513"/>
      <w:r w:rsidR="004D3873">
        <w:rPr>
          <w:rStyle w:val="FootnoteReference"/>
          <w:sz w:val="28"/>
          <w:szCs w:val="28"/>
        </w:rPr>
        <w:footnoteReference w:id="14"/>
      </w:r>
      <w:bookmarkEnd w:id="514"/>
    </w:p>
    <w:p w14:paraId="76F58E20" w14:textId="2B522E60" w:rsidR="007947FD" w:rsidRDefault="00CD75E0" w:rsidP="002E757C">
      <w:pPr>
        <w:pStyle w:val="BodyText"/>
        <w:spacing w:before="0"/>
      </w:pPr>
      <w:r>
        <w:rPr>
          <w:noProof/>
        </w:rPr>
        <w:drawing>
          <wp:inline distT="0" distB="0" distL="0" distR="0" wp14:anchorId="7EAA1D0D" wp14:editId="71D776DD">
            <wp:extent cx="11695814" cy="2316480"/>
            <wp:effectExtent l="0" t="0" r="1270" b="7620"/>
            <wp:docPr id="21" name="Chart 21">
              <a:extLst xmlns:a="http://schemas.openxmlformats.org/drawingml/2006/main">
                <a:ext uri="{FF2B5EF4-FFF2-40B4-BE49-F238E27FC236}">
                  <a16:creationId xmlns:a16="http://schemas.microsoft.com/office/drawing/2014/main" id="{16F2510E-BE35-456B-9182-32BF306566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sidR="007947FD">
        <w:t xml:space="preserve"> </w:t>
      </w:r>
    </w:p>
    <w:p w14:paraId="01179A45" w14:textId="57D7FD52" w:rsidR="007947FD" w:rsidRPr="007947FD" w:rsidRDefault="00672269" w:rsidP="002E757C">
      <w:pPr>
        <w:pStyle w:val="BodyText"/>
        <w:spacing w:before="120"/>
      </w:pPr>
      <w:bookmarkStart w:id="515" w:name="_Toc157413985"/>
      <w:r w:rsidRPr="002E757C">
        <w:rPr>
          <w:rStyle w:val="Heading2Char"/>
          <w:bCs/>
          <w:sz w:val="28"/>
          <w:szCs w:val="28"/>
        </w:rPr>
        <w:t xml:space="preserve">Figure 8: </w:t>
      </w:r>
      <w:r w:rsidR="00CC0651" w:rsidRPr="002E757C">
        <w:rPr>
          <w:rStyle w:val="Heading2Char"/>
          <w:bCs/>
          <w:sz w:val="28"/>
          <w:szCs w:val="28"/>
        </w:rPr>
        <w:t xml:space="preserve">RAPPS program population rates </w:t>
      </w:r>
      <w:r w:rsidR="00C57B50">
        <w:rPr>
          <w:rStyle w:val="Heading2Char"/>
          <w:bCs/>
          <w:sz w:val="28"/>
          <w:szCs w:val="28"/>
        </w:rPr>
        <w:t>CY202</w:t>
      </w:r>
      <w:r w:rsidR="00CC0651" w:rsidRPr="002E757C">
        <w:rPr>
          <w:rStyle w:val="Heading2Char"/>
          <w:bCs/>
          <w:sz w:val="28"/>
          <w:szCs w:val="28"/>
        </w:rPr>
        <w:t>1</w:t>
      </w:r>
      <w:r w:rsidR="00C57B50">
        <w:rPr>
          <w:rStyle w:val="Heading2Char"/>
          <w:bCs/>
          <w:sz w:val="28"/>
          <w:szCs w:val="28"/>
        </w:rPr>
        <w:t xml:space="preserve"> - 2022</w:t>
      </w:r>
      <w:bookmarkEnd w:id="515"/>
      <w:r w:rsidR="00CC0651">
        <w:rPr>
          <w:noProof/>
        </w:rPr>
        <w:drawing>
          <wp:inline distT="0" distB="0" distL="0" distR="0" wp14:anchorId="76868A3A" wp14:editId="346750D5">
            <wp:extent cx="11695430" cy="2477386"/>
            <wp:effectExtent l="0" t="0" r="1270" b="18415"/>
            <wp:docPr id="15" name="Chart 15">
              <a:extLst xmlns:a="http://schemas.openxmlformats.org/drawingml/2006/main">
                <a:ext uri="{FF2B5EF4-FFF2-40B4-BE49-F238E27FC236}">
                  <a16:creationId xmlns:a16="http://schemas.microsoft.com/office/drawing/2014/main" id="{B00FBC17-F68D-4172-9823-AA2BBB2210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5C613838" w14:textId="77777777" w:rsidR="004D3873" w:rsidRDefault="004D3873" w:rsidP="003B4B6C">
      <w:pPr>
        <w:pStyle w:val="Heading2"/>
        <w:spacing w:after="0"/>
        <w:rPr>
          <w:sz w:val="28"/>
          <w:szCs w:val="28"/>
        </w:rPr>
        <w:sectPr w:rsidR="004D3873" w:rsidSect="002E757C">
          <w:pgSz w:w="20160" w:h="12240" w:orient="landscape" w:code="5"/>
          <w:pgMar w:top="720" w:right="720" w:bottom="720" w:left="720" w:header="202" w:footer="720" w:gutter="0"/>
          <w:cols w:space="720"/>
          <w:docGrid w:linePitch="360"/>
        </w:sectPr>
      </w:pPr>
      <w:bookmarkStart w:id="516" w:name="_Toc155105212"/>
      <w:bookmarkStart w:id="517" w:name="_Toc156487100"/>
    </w:p>
    <w:p w14:paraId="1A52643F" w14:textId="210648AF" w:rsidR="002E757C" w:rsidRDefault="002E757C" w:rsidP="00EF240C">
      <w:pPr>
        <w:pStyle w:val="Heading1"/>
        <w:numPr>
          <w:ilvl w:val="0"/>
          <w:numId w:val="0"/>
        </w:numPr>
        <w:ind w:left="360" w:hanging="360"/>
      </w:pPr>
      <w:bookmarkStart w:id="518" w:name="_Toc157413986"/>
      <w:r>
        <w:lastRenderedPageBreak/>
        <w:t xml:space="preserve">Appendix C: </w:t>
      </w:r>
      <w:r w:rsidR="00EF240C">
        <w:t>Provider-Reported Performance Data by Quality Strategy Goal</w:t>
      </w:r>
      <w:bookmarkEnd w:id="518"/>
    </w:p>
    <w:p w14:paraId="4247E8A9" w14:textId="4A0AC5C8" w:rsidR="001B2457" w:rsidRDefault="001B2457" w:rsidP="003B4B6C">
      <w:pPr>
        <w:pStyle w:val="Heading2"/>
        <w:spacing w:after="0"/>
        <w:rPr>
          <w:sz w:val="28"/>
          <w:szCs w:val="28"/>
        </w:rPr>
      </w:pPr>
      <w:bookmarkStart w:id="519" w:name="_Toc157413987"/>
      <w:r w:rsidRPr="00D66E3A">
        <w:rPr>
          <w:sz w:val="28"/>
          <w:szCs w:val="28"/>
        </w:rPr>
        <w:t xml:space="preserve">Table </w:t>
      </w:r>
      <w:r w:rsidR="00EA5DC4" w:rsidRPr="00D66E3A">
        <w:rPr>
          <w:sz w:val="28"/>
          <w:szCs w:val="28"/>
        </w:rPr>
        <w:t>1</w:t>
      </w:r>
      <w:r w:rsidR="00625736">
        <w:rPr>
          <w:sz w:val="28"/>
          <w:szCs w:val="28"/>
        </w:rPr>
        <w:t>:</w:t>
      </w:r>
      <w:r w:rsidR="00EA5DC4" w:rsidRPr="00D66E3A">
        <w:rPr>
          <w:sz w:val="28"/>
          <w:szCs w:val="28"/>
        </w:rPr>
        <w:t xml:space="preserve"> </w:t>
      </w:r>
      <w:r w:rsidR="00CA30B4" w:rsidRPr="00CA30B4">
        <w:rPr>
          <w:sz w:val="28"/>
          <w:szCs w:val="28"/>
        </w:rPr>
        <w:t>Optimal Health Quality Strategy Goal</w:t>
      </w:r>
      <w:bookmarkEnd w:id="516"/>
      <w:bookmarkEnd w:id="517"/>
      <w:bookmarkEnd w:id="519"/>
    </w:p>
    <w:p w14:paraId="5FA37B29" w14:textId="219F691E" w:rsidR="00CA30B4" w:rsidRPr="003B09DD" w:rsidRDefault="00CA30B4" w:rsidP="003B4B6C">
      <w:pPr>
        <w:pStyle w:val="BodyText"/>
        <w:spacing w:before="0"/>
        <w:rPr>
          <w:sz w:val="24"/>
          <w:szCs w:val="24"/>
        </w:rPr>
      </w:pPr>
      <w:r w:rsidRPr="003B09DD">
        <w:rPr>
          <w:sz w:val="24"/>
          <w:szCs w:val="24"/>
        </w:rPr>
        <w:t>Did the DPPs promote optimal health for Medicaid managed care clients at every stage of life through prevention and by engaging individuals, families, communities, and the healthcare system to address root causes of poor health?</w:t>
      </w:r>
    </w:p>
    <w:tbl>
      <w:tblPr>
        <w:tblStyle w:val="TableGrid2"/>
        <w:tblpPr w:leftFromText="180" w:rightFromText="180" w:vertAnchor="text" w:horzAnchor="margin" w:tblpY="98"/>
        <w:tblW w:w="14134" w:type="dxa"/>
        <w:tblLayout w:type="fixed"/>
        <w:tblLook w:val="04A0" w:firstRow="1" w:lastRow="0" w:firstColumn="1" w:lastColumn="0" w:noHBand="0" w:noVBand="1"/>
      </w:tblPr>
      <w:tblGrid>
        <w:gridCol w:w="6565"/>
        <w:gridCol w:w="1170"/>
        <w:gridCol w:w="1500"/>
        <w:gridCol w:w="1500"/>
        <w:gridCol w:w="1500"/>
        <w:gridCol w:w="1899"/>
      </w:tblGrid>
      <w:tr w:rsidR="003B4B6C" w:rsidRPr="00BE5BB5" w14:paraId="1CE72A74" w14:textId="77777777" w:rsidTr="002E757C">
        <w:trPr>
          <w:cnfStyle w:val="100000000000" w:firstRow="1" w:lastRow="0" w:firstColumn="0" w:lastColumn="0" w:oddVBand="0" w:evenVBand="0" w:oddHBand="0" w:evenHBand="0" w:firstRowFirstColumn="0" w:firstRowLastColumn="0" w:lastRowFirstColumn="0" w:lastRowLastColumn="0"/>
          <w:trHeight w:val="1241"/>
        </w:trPr>
        <w:tc>
          <w:tcPr>
            <w:tcW w:w="6565" w:type="dxa"/>
            <w:shd w:val="clear" w:color="auto" w:fill="8BA8E2" w:themeFill="text1" w:themeFillTint="66"/>
            <w:hideMark/>
          </w:tcPr>
          <w:p w14:paraId="5B7097E4" w14:textId="77777777" w:rsidR="002475D1" w:rsidRPr="00B37721" w:rsidRDefault="002475D1" w:rsidP="002475D1">
            <w:pPr>
              <w:spacing w:before="20" w:after="20"/>
              <w:rPr>
                <w:b w:val="0"/>
                <w:bCs/>
                <w:color w:val="0F1E3C" w:themeColor="text1" w:themeShade="80"/>
                <w:sz w:val="20"/>
              </w:rPr>
            </w:pPr>
            <w:r w:rsidRPr="00B37721">
              <w:rPr>
                <w:bCs/>
                <w:color w:val="0F1E3C" w:themeColor="text1" w:themeShade="80"/>
                <w:sz w:val="20"/>
              </w:rPr>
              <w:t>Measure Name</w:t>
            </w:r>
          </w:p>
        </w:tc>
        <w:tc>
          <w:tcPr>
            <w:tcW w:w="1170" w:type="dxa"/>
            <w:shd w:val="clear" w:color="auto" w:fill="8BA8E2" w:themeFill="text1" w:themeFillTint="66"/>
          </w:tcPr>
          <w:p w14:paraId="097FE1EB" w14:textId="77777777" w:rsidR="002475D1" w:rsidRPr="00B37721" w:rsidRDefault="002475D1" w:rsidP="002475D1">
            <w:pPr>
              <w:spacing w:before="20" w:after="20"/>
              <w:rPr>
                <w:b w:val="0"/>
                <w:bCs/>
                <w:sz w:val="20"/>
              </w:rPr>
            </w:pPr>
            <w:r w:rsidRPr="00B37721">
              <w:rPr>
                <w:sz w:val="20"/>
              </w:rPr>
              <w:t>DPP</w:t>
            </w:r>
          </w:p>
        </w:tc>
        <w:tc>
          <w:tcPr>
            <w:tcW w:w="1500" w:type="dxa"/>
            <w:shd w:val="clear" w:color="auto" w:fill="8BA8E2" w:themeFill="text1" w:themeFillTint="66"/>
            <w:hideMark/>
          </w:tcPr>
          <w:p w14:paraId="0A0AB0EB" w14:textId="446FC34C" w:rsidR="002475D1" w:rsidRPr="00B37721" w:rsidRDefault="002475D1" w:rsidP="002475D1">
            <w:pPr>
              <w:spacing w:before="20" w:after="20"/>
              <w:rPr>
                <w:b w:val="0"/>
                <w:bCs/>
                <w:sz w:val="20"/>
              </w:rPr>
            </w:pPr>
            <w:r w:rsidRPr="00B37721">
              <w:rPr>
                <w:bCs/>
                <w:sz w:val="20"/>
              </w:rPr>
              <w:t xml:space="preserve">Median Rate </w:t>
            </w:r>
            <w:r w:rsidR="00F41DDF">
              <w:rPr>
                <w:bCs/>
                <w:sz w:val="20"/>
              </w:rPr>
              <w:t>CY</w:t>
            </w:r>
            <w:r w:rsidRPr="00B37721">
              <w:rPr>
                <w:bCs/>
                <w:sz w:val="20"/>
              </w:rPr>
              <w:t>2021</w:t>
            </w:r>
            <w:r w:rsidRPr="00B37721">
              <w:rPr>
                <w:rStyle w:val="FootnoteReference"/>
                <w:sz w:val="20"/>
              </w:rPr>
              <w:footnoteReference w:id="15"/>
            </w:r>
          </w:p>
        </w:tc>
        <w:tc>
          <w:tcPr>
            <w:tcW w:w="1500" w:type="dxa"/>
            <w:shd w:val="clear" w:color="auto" w:fill="8BA8E2" w:themeFill="text1" w:themeFillTint="66"/>
          </w:tcPr>
          <w:p w14:paraId="5731D1DB" w14:textId="415187D9" w:rsidR="002475D1" w:rsidRPr="00B37721" w:rsidRDefault="002475D1" w:rsidP="002475D1">
            <w:pPr>
              <w:spacing w:before="20" w:after="20"/>
              <w:rPr>
                <w:b w:val="0"/>
                <w:bCs/>
                <w:sz w:val="20"/>
              </w:rPr>
            </w:pPr>
            <w:r w:rsidRPr="00B37721">
              <w:rPr>
                <w:bCs/>
                <w:sz w:val="20"/>
              </w:rPr>
              <w:t xml:space="preserve">Median Rate </w:t>
            </w:r>
            <w:r w:rsidR="00F41DDF">
              <w:rPr>
                <w:bCs/>
                <w:sz w:val="20"/>
              </w:rPr>
              <w:t>CY</w:t>
            </w:r>
            <w:r w:rsidRPr="00B37721">
              <w:rPr>
                <w:bCs/>
                <w:sz w:val="20"/>
              </w:rPr>
              <w:t>2022</w:t>
            </w:r>
            <w:r w:rsidRPr="00B37721">
              <w:rPr>
                <w:rStyle w:val="FootnoteReference"/>
                <w:sz w:val="20"/>
              </w:rPr>
              <w:footnoteReference w:id="16"/>
            </w:r>
          </w:p>
        </w:tc>
        <w:tc>
          <w:tcPr>
            <w:tcW w:w="1500" w:type="dxa"/>
            <w:shd w:val="clear" w:color="auto" w:fill="8BA8E2" w:themeFill="text1" w:themeFillTint="66"/>
            <w:hideMark/>
          </w:tcPr>
          <w:p w14:paraId="2D4C9806" w14:textId="29B70496" w:rsidR="002475D1" w:rsidRPr="00B37721" w:rsidRDefault="002475D1" w:rsidP="002475D1">
            <w:pPr>
              <w:spacing w:before="20" w:after="20"/>
              <w:rPr>
                <w:b w:val="0"/>
                <w:bCs/>
                <w:sz w:val="20"/>
              </w:rPr>
            </w:pPr>
            <w:r w:rsidRPr="00B37721">
              <w:rPr>
                <w:bCs/>
                <w:sz w:val="20"/>
              </w:rPr>
              <w:t>% of Providers that Improved</w:t>
            </w:r>
            <w:r w:rsidRPr="00B37721">
              <w:rPr>
                <w:rStyle w:val="FootnoteReference"/>
                <w:sz w:val="20"/>
              </w:rPr>
              <w:footnoteReference w:id="17"/>
            </w:r>
          </w:p>
        </w:tc>
        <w:tc>
          <w:tcPr>
            <w:tcW w:w="1899" w:type="dxa"/>
            <w:shd w:val="clear" w:color="auto" w:fill="8BA8E2" w:themeFill="text1" w:themeFillTint="66"/>
          </w:tcPr>
          <w:p w14:paraId="604A39AA" w14:textId="77777777" w:rsidR="00310FEF" w:rsidRDefault="00F41DDF" w:rsidP="002475D1">
            <w:pPr>
              <w:spacing w:before="20" w:after="20"/>
              <w:rPr>
                <w:b w:val="0"/>
                <w:sz w:val="20"/>
              </w:rPr>
            </w:pPr>
            <w:r>
              <w:rPr>
                <w:sz w:val="20"/>
              </w:rPr>
              <w:t>CY2022 and CY</w:t>
            </w:r>
            <w:r w:rsidR="002475D1" w:rsidRPr="00B37721">
              <w:rPr>
                <w:sz w:val="20"/>
              </w:rPr>
              <w:t>2023 Evaluation Target</w:t>
            </w:r>
            <w:r>
              <w:rPr>
                <w:rStyle w:val="FootnoteReference"/>
                <w:sz w:val="20"/>
              </w:rPr>
              <w:footnoteReference w:id="18"/>
            </w:r>
            <w:r w:rsidR="002475D1" w:rsidRPr="00B37721">
              <w:rPr>
                <w:sz w:val="20"/>
              </w:rPr>
              <w:t xml:space="preserve"> </w:t>
            </w:r>
          </w:p>
          <w:p w14:paraId="6E70F35F" w14:textId="176A3399" w:rsidR="002475D1" w:rsidRPr="00B37721" w:rsidRDefault="002475D1" w:rsidP="002475D1">
            <w:pPr>
              <w:spacing w:before="20" w:after="20"/>
              <w:rPr>
                <w:sz w:val="20"/>
              </w:rPr>
            </w:pPr>
            <w:r w:rsidRPr="00310FEF">
              <w:rPr>
                <w:b w:val="0"/>
                <w:sz w:val="20"/>
              </w:rPr>
              <w:t>(</w:t>
            </w:r>
            <w:proofErr w:type="gramStart"/>
            <w:r w:rsidRPr="00310FEF">
              <w:rPr>
                <w:b w:val="0"/>
                <w:sz w:val="20"/>
              </w:rPr>
              <w:t>green</w:t>
            </w:r>
            <w:proofErr w:type="gramEnd"/>
            <w:r w:rsidRPr="00310FEF">
              <w:rPr>
                <w:b w:val="0"/>
                <w:sz w:val="20"/>
              </w:rPr>
              <w:t xml:space="preserve"> if met</w:t>
            </w:r>
            <w:r w:rsidR="00153C14" w:rsidRPr="00310FEF">
              <w:rPr>
                <w:b w:val="0"/>
                <w:sz w:val="20"/>
              </w:rPr>
              <w:t xml:space="preserve"> in </w:t>
            </w:r>
            <w:r w:rsidR="00F41DDF" w:rsidRPr="00310FEF">
              <w:rPr>
                <w:b w:val="0"/>
                <w:sz w:val="20"/>
              </w:rPr>
              <w:t>CY</w:t>
            </w:r>
            <w:r w:rsidR="00153C14" w:rsidRPr="00310FEF">
              <w:rPr>
                <w:b w:val="0"/>
                <w:sz w:val="20"/>
              </w:rPr>
              <w:t>2022</w:t>
            </w:r>
            <w:r w:rsidRPr="00310FEF">
              <w:rPr>
                <w:b w:val="0"/>
                <w:sz w:val="20"/>
              </w:rPr>
              <w:t>)</w:t>
            </w:r>
          </w:p>
        </w:tc>
      </w:tr>
      <w:tr w:rsidR="00010C47" w:rsidRPr="00C55C70" w14:paraId="6AFE9302" w14:textId="77777777" w:rsidTr="00310FEF">
        <w:tc>
          <w:tcPr>
            <w:tcW w:w="6565" w:type="dxa"/>
            <w:hideMark/>
          </w:tcPr>
          <w:p w14:paraId="63505494" w14:textId="77777777" w:rsidR="002475D1" w:rsidRPr="003B4B6C" w:rsidRDefault="002475D1" w:rsidP="003B4B6C">
            <w:pPr>
              <w:spacing w:before="60" w:after="60"/>
              <w:rPr>
                <w:bCs/>
                <w:color w:val="0D0D0D" w:themeColor="text2" w:themeTint="F2"/>
                <w:sz w:val="22"/>
                <w:szCs w:val="28"/>
              </w:rPr>
            </w:pPr>
            <w:r w:rsidRPr="003B4B6C">
              <w:rPr>
                <w:bCs/>
                <w:color w:val="0D0D0D" w:themeColor="text2" w:themeTint="F2"/>
                <w:sz w:val="22"/>
                <w:szCs w:val="28"/>
              </w:rPr>
              <w:t>Tobacco Screening &amp; Cessation Intervention (Rural)</w:t>
            </w:r>
          </w:p>
        </w:tc>
        <w:tc>
          <w:tcPr>
            <w:tcW w:w="1170" w:type="dxa"/>
            <w:tcBorders>
              <w:right w:val="single" w:sz="4" w:space="0" w:color="auto"/>
            </w:tcBorders>
          </w:tcPr>
          <w:p w14:paraId="1BC98F34" w14:textId="77777777" w:rsidR="002475D1" w:rsidRPr="003B4B6C" w:rsidRDefault="002475D1" w:rsidP="003B4B6C">
            <w:pPr>
              <w:spacing w:before="60" w:after="60"/>
              <w:jc w:val="center"/>
              <w:rPr>
                <w:rFonts w:cs="Calibri"/>
                <w:bCs/>
                <w:color w:val="000000"/>
                <w:sz w:val="22"/>
                <w:szCs w:val="28"/>
              </w:rPr>
            </w:pPr>
            <w:r w:rsidRPr="003B4B6C">
              <w:rPr>
                <w:bCs/>
                <w:sz w:val="22"/>
                <w:szCs w:val="28"/>
              </w:rPr>
              <w:t>CHIRP</w:t>
            </w:r>
          </w:p>
        </w:tc>
        <w:tc>
          <w:tcPr>
            <w:tcW w:w="1500" w:type="dxa"/>
            <w:tcBorders>
              <w:top w:val="single" w:sz="4" w:space="0" w:color="auto"/>
              <w:left w:val="single" w:sz="4" w:space="0" w:color="auto"/>
              <w:bottom w:val="single" w:sz="4" w:space="0" w:color="auto"/>
              <w:right w:val="single" w:sz="4" w:space="0" w:color="auto"/>
            </w:tcBorders>
            <w:shd w:val="clear" w:color="auto" w:fill="auto"/>
          </w:tcPr>
          <w:p w14:paraId="1E8784C6" w14:textId="77777777" w:rsidR="002475D1" w:rsidRPr="003B4B6C" w:rsidRDefault="002475D1" w:rsidP="003B4B6C">
            <w:pPr>
              <w:spacing w:before="60" w:after="60"/>
              <w:jc w:val="center"/>
              <w:rPr>
                <w:bCs/>
                <w:sz w:val="22"/>
                <w:szCs w:val="28"/>
              </w:rPr>
            </w:pPr>
            <w:r w:rsidRPr="003B4B6C">
              <w:rPr>
                <w:rFonts w:cs="Calibri"/>
                <w:bCs/>
                <w:color w:val="000000"/>
                <w:sz w:val="22"/>
                <w:szCs w:val="28"/>
              </w:rPr>
              <w:t>44.40%</w:t>
            </w:r>
          </w:p>
        </w:tc>
        <w:tc>
          <w:tcPr>
            <w:tcW w:w="1500" w:type="dxa"/>
            <w:tcBorders>
              <w:top w:val="single" w:sz="4" w:space="0" w:color="auto"/>
              <w:left w:val="nil"/>
              <w:bottom w:val="single" w:sz="4" w:space="0" w:color="auto"/>
              <w:right w:val="single" w:sz="4" w:space="0" w:color="auto"/>
            </w:tcBorders>
            <w:shd w:val="clear" w:color="auto" w:fill="E1F2DA" w:themeFill="accent3" w:themeFillTint="33"/>
          </w:tcPr>
          <w:p w14:paraId="4FFD7353" w14:textId="77777777" w:rsidR="002475D1" w:rsidRPr="003B4B6C" w:rsidRDefault="002475D1" w:rsidP="003B4B6C">
            <w:pPr>
              <w:spacing w:before="60" w:after="60"/>
              <w:jc w:val="center"/>
              <w:rPr>
                <w:bCs/>
                <w:sz w:val="22"/>
                <w:szCs w:val="28"/>
              </w:rPr>
            </w:pPr>
            <w:r w:rsidRPr="003B4B6C">
              <w:rPr>
                <w:rFonts w:cs="Calibri"/>
                <w:bCs/>
                <w:color w:val="000000"/>
                <w:sz w:val="22"/>
                <w:szCs w:val="28"/>
              </w:rPr>
              <w:t xml:space="preserve">64.47% </w:t>
            </w:r>
            <w:r w:rsidRPr="003B4B6C">
              <w:rPr>
                <w:rFonts w:cs="Calibri"/>
                <w:bCs/>
                <w:color w:val="00B050"/>
                <w:sz w:val="22"/>
                <w:szCs w:val="28"/>
              </w:rPr>
              <w:sym w:font="Symbol" w:char="F0AD"/>
            </w:r>
          </w:p>
        </w:tc>
        <w:tc>
          <w:tcPr>
            <w:tcW w:w="1500" w:type="dxa"/>
          </w:tcPr>
          <w:p w14:paraId="493E175C" w14:textId="77777777" w:rsidR="002475D1" w:rsidRPr="003B4B6C" w:rsidRDefault="002475D1" w:rsidP="003B4B6C">
            <w:pPr>
              <w:spacing w:before="60" w:after="60"/>
              <w:jc w:val="center"/>
              <w:rPr>
                <w:bCs/>
                <w:sz w:val="22"/>
                <w:szCs w:val="28"/>
              </w:rPr>
            </w:pPr>
            <w:r w:rsidRPr="003B4B6C">
              <w:rPr>
                <w:bCs/>
                <w:sz w:val="22"/>
                <w:szCs w:val="28"/>
              </w:rPr>
              <w:t>57%</w:t>
            </w:r>
          </w:p>
        </w:tc>
        <w:tc>
          <w:tcPr>
            <w:tcW w:w="1899" w:type="dxa"/>
            <w:shd w:val="clear" w:color="auto" w:fill="E1F2DA" w:themeFill="accent3" w:themeFillTint="33"/>
          </w:tcPr>
          <w:p w14:paraId="6E1306F3" w14:textId="77777777" w:rsidR="002475D1" w:rsidRPr="003B4B6C" w:rsidRDefault="002475D1" w:rsidP="003B4B6C">
            <w:pPr>
              <w:spacing w:before="60" w:after="60"/>
              <w:jc w:val="center"/>
              <w:rPr>
                <w:bCs/>
                <w:sz w:val="22"/>
                <w:szCs w:val="28"/>
              </w:rPr>
            </w:pPr>
            <w:r w:rsidRPr="003B4B6C">
              <w:rPr>
                <w:bCs/>
                <w:sz w:val="22"/>
                <w:szCs w:val="28"/>
              </w:rPr>
              <w:t>34.55%</w:t>
            </w:r>
          </w:p>
        </w:tc>
      </w:tr>
      <w:tr w:rsidR="003B4B6C" w:rsidRPr="00C55C70" w14:paraId="58366E93" w14:textId="77777777" w:rsidTr="00310FEF">
        <w:tc>
          <w:tcPr>
            <w:tcW w:w="6565" w:type="dxa"/>
          </w:tcPr>
          <w:p w14:paraId="435AA1F2" w14:textId="77777777" w:rsidR="002475D1" w:rsidRPr="003B4B6C" w:rsidRDefault="002475D1" w:rsidP="003B4B6C">
            <w:pPr>
              <w:pStyle w:val="BodyTextafterheading"/>
              <w:spacing w:before="60" w:after="60"/>
              <w:rPr>
                <w:bCs/>
                <w:color w:val="0D0D0D" w:themeColor="text2" w:themeTint="F2"/>
                <w:sz w:val="22"/>
                <w:szCs w:val="28"/>
              </w:rPr>
            </w:pPr>
            <w:r w:rsidRPr="003B4B6C">
              <w:rPr>
                <w:rFonts w:cs="Calibri"/>
                <w:bCs/>
                <w:color w:val="0D0D0D" w:themeColor="text2" w:themeTint="F2"/>
                <w:sz w:val="22"/>
                <w:szCs w:val="28"/>
              </w:rPr>
              <w:t>Tobacco Screening &amp; Cessation Intervention</w:t>
            </w:r>
          </w:p>
        </w:tc>
        <w:tc>
          <w:tcPr>
            <w:tcW w:w="1170" w:type="dxa"/>
          </w:tcPr>
          <w:p w14:paraId="0703A240" w14:textId="77777777" w:rsidR="002475D1" w:rsidRPr="003B4B6C" w:rsidRDefault="002475D1" w:rsidP="003B4B6C">
            <w:pPr>
              <w:pStyle w:val="BodyTextafterheading"/>
              <w:spacing w:before="60" w:after="60"/>
              <w:jc w:val="center"/>
              <w:rPr>
                <w:rFonts w:cs="Calibri"/>
                <w:bCs/>
                <w:color w:val="000000"/>
                <w:sz w:val="22"/>
                <w:szCs w:val="28"/>
              </w:rPr>
            </w:pPr>
            <w:r w:rsidRPr="003B4B6C">
              <w:rPr>
                <w:rFonts w:cs="Calibri"/>
                <w:bCs/>
                <w:color w:val="000000"/>
                <w:sz w:val="22"/>
                <w:szCs w:val="28"/>
              </w:rPr>
              <w:t>TIPPS</w:t>
            </w:r>
          </w:p>
        </w:tc>
        <w:tc>
          <w:tcPr>
            <w:tcW w:w="1500" w:type="dxa"/>
          </w:tcPr>
          <w:p w14:paraId="317422DB" w14:textId="77777777" w:rsidR="002475D1" w:rsidRPr="003B4B6C" w:rsidRDefault="002475D1" w:rsidP="003B4B6C">
            <w:pPr>
              <w:pStyle w:val="BodyTextafterheading"/>
              <w:spacing w:before="60" w:after="60"/>
              <w:jc w:val="center"/>
              <w:rPr>
                <w:bCs/>
                <w:sz w:val="22"/>
                <w:szCs w:val="28"/>
              </w:rPr>
            </w:pPr>
            <w:r w:rsidRPr="003B4B6C">
              <w:rPr>
                <w:rFonts w:cs="Calibri"/>
                <w:bCs/>
                <w:color w:val="000000"/>
                <w:sz w:val="22"/>
                <w:szCs w:val="28"/>
              </w:rPr>
              <w:t>83.36%</w:t>
            </w:r>
          </w:p>
        </w:tc>
        <w:tc>
          <w:tcPr>
            <w:tcW w:w="1500" w:type="dxa"/>
            <w:shd w:val="clear" w:color="auto" w:fill="E1F2DA" w:themeFill="accent3" w:themeFillTint="33"/>
          </w:tcPr>
          <w:p w14:paraId="4F69E87A" w14:textId="77777777" w:rsidR="002475D1" w:rsidRPr="003B4B6C" w:rsidRDefault="002475D1" w:rsidP="003B4B6C">
            <w:pPr>
              <w:pStyle w:val="BodyTextafterheading"/>
              <w:spacing w:before="60" w:after="60"/>
              <w:jc w:val="center"/>
              <w:rPr>
                <w:bCs/>
                <w:sz w:val="22"/>
                <w:szCs w:val="28"/>
              </w:rPr>
            </w:pPr>
            <w:r w:rsidRPr="003B4B6C">
              <w:rPr>
                <w:bCs/>
                <w:sz w:val="22"/>
                <w:szCs w:val="28"/>
              </w:rPr>
              <w:t xml:space="preserve">84.96% </w:t>
            </w:r>
            <w:r w:rsidRPr="003B4B6C">
              <w:rPr>
                <w:rFonts w:cs="Calibri"/>
                <w:bCs/>
                <w:color w:val="00B050"/>
                <w:sz w:val="22"/>
                <w:szCs w:val="28"/>
              </w:rPr>
              <w:sym w:font="Symbol" w:char="F0AD"/>
            </w:r>
          </w:p>
        </w:tc>
        <w:tc>
          <w:tcPr>
            <w:tcW w:w="1500" w:type="dxa"/>
          </w:tcPr>
          <w:p w14:paraId="2D085DA6" w14:textId="77777777" w:rsidR="002475D1" w:rsidRPr="003B4B6C" w:rsidRDefault="002475D1" w:rsidP="003B4B6C">
            <w:pPr>
              <w:pStyle w:val="BodyTextafterheading"/>
              <w:spacing w:before="60" w:after="60"/>
              <w:jc w:val="center"/>
              <w:rPr>
                <w:bCs/>
                <w:sz w:val="22"/>
                <w:szCs w:val="28"/>
              </w:rPr>
            </w:pPr>
            <w:r w:rsidRPr="003B4B6C">
              <w:rPr>
                <w:rFonts w:cs="Calibri"/>
                <w:bCs/>
                <w:color w:val="000000"/>
                <w:sz w:val="22"/>
                <w:szCs w:val="28"/>
              </w:rPr>
              <w:t>37%</w:t>
            </w:r>
          </w:p>
        </w:tc>
        <w:tc>
          <w:tcPr>
            <w:tcW w:w="1899" w:type="dxa"/>
            <w:shd w:val="clear" w:color="auto" w:fill="auto"/>
          </w:tcPr>
          <w:p w14:paraId="34FD6E2A" w14:textId="77777777" w:rsidR="002475D1" w:rsidRPr="003B4B6C" w:rsidRDefault="002475D1" w:rsidP="003B4B6C">
            <w:pPr>
              <w:pStyle w:val="BodyTextafterheading"/>
              <w:spacing w:before="60" w:after="60"/>
              <w:jc w:val="center"/>
              <w:rPr>
                <w:rFonts w:cs="Calibri"/>
                <w:bCs/>
                <w:color w:val="000000"/>
                <w:sz w:val="22"/>
                <w:szCs w:val="28"/>
              </w:rPr>
            </w:pPr>
            <w:r w:rsidRPr="003B4B6C">
              <w:rPr>
                <w:rFonts w:cs="Calibri"/>
                <w:bCs/>
                <w:color w:val="000000"/>
                <w:sz w:val="22"/>
                <w:szCs w:val="28"/>
              </w:rPr>
              <w:t>89.11%</w:t>
            </w:r>
          </w:p>
        </w:tc>
      </w:tr>
      <w:tr w:rsidR="003B4B6C" w:rsidRPr="00C55C70" w14:paraId="604FE383" w14:textId="77777777" w:rsidTr="00310FEF">
        <w:tc>
          <w:tcPr>
            <w:tcW w:w="6565" w:type="dxa"/>
          </w:tcPr>
          <w:p w14:paraId="0F4A048B" w14:textId="77777777" w:rsidR="002475D1" w:rsidRPr="003B4B6C" w:rsidRDefault="002475D1" w:rsidP="003B4B6C">
            <w:pPr>
              <w:pStyle w:val="BodyTextafterheading"/>
              <w:spacing w:before="60" w:after="60"/>
              <w:rPr>
                <w:bCs/>
                <w:color w:val="0D0D0D" w:themeColor="text2" w:themeTint="F2"/>
                <w:sz w:val="22"/>
                <w:szCs w:val="28"/>
              </w:rPr>
            </w:pPr>
            <w:r w:rsidRPr="003B4B6C">
              <w:rPr>
                <w:rFonts w:cs="Calibri"/>
                <w:bCs/>
                <w:color w:val="0D0D0D" w:themeColor="text2" w:themeTint="F2"/>
                <w:sz w:val="22"/>
                <w:szCs w:val="28"/>
              </w:rPr>
              <w:t>Tobacco Use and Help with Quitting Among Adolescents</w:t>
            </w:r>
          </w:p>
        </w:tc>
        <w:tc>
          <w:tcPr>
            <w:tcW w:w="1170" w:type="dxa"/>
          </w:tcPr>
          <w:p w14:paraId="259CFAA0" w14:textId="77777777" w:rsidR="002475D1" w:rsidRPr="003B4B6C" w:rsidRDefault="002475D1" w:rsidP="003B4B6C">
            <w:pPr>
              <w:pStyle w:val="BodyTextafterheading"/>
              <w:spacing w:before="60" w:after="60"/>
              <w:jc w:val="center"/>
              <w:rPr>
                <w:rFonts w:cs="Calibri"/>
                <w:bCs/>
                <w:color w:val="000000"/>
                <w:sz w:val="22"/>
                <w:szCs w:val="28"/>
              </w:rPr>
            </w:pPr>
            <w:r w:rsidRPr="003B4B6C">
              <w:rPr>
                <w:rFonts w:cs="Calibri"/>
                <w:bCs/>
                <w:color w:val="000000"/>
                <w:sz w:val="22"/>
                <w:szCs w:val="28"/>
              </w:rPr>
              <w:t>TIPPS</w:t>
            </w:r>
          </w:p>
        </w:tc>
        <w:tc>
          <w:tcPr>
            <w:tcW w:w="1500" w:type="dxa"/>
          </w:tcPr>
          <w:p w14:paraId="12479376" w14:textId="77777777" w:rsidR="002475D1" w:rsidRPr="003B4B6C" w:rsidRDefault="002475D1" w:rsidP="003B4B6C">
            <w:pPr>
              <w:pStyle w:val="BodyTextafterheading"/>
              <w:spacing w:before="60" w:after="60"/>
              <w:jc w:val="center"/>
              <w:rPr>
                <w:bCs/>
                <w:sz w:val="22"/>
                <w:szCs w:val="28"/>
              </w:rPr>
            </w:pPr>
            <w:r w:rsidRPr="003B4B6C">
              <w:rPr>
                <w:rFonts w:cs="Calibri"/>
                <w:bCs/>
                <w:color w:val="000000"/>
                <w:sz w:val="22"/>
                <w:szCs w:val="28"/>
              </w:rPr>
              <w:t>74.15%</w:t>
            </w:r>
          </w:p>
        </w:tc>
        <w:tc>
          <w:tcPr>
            <w:tcW w:w="1500" w:type="dxa"/>
            <w:shd w:val="clear" w:color="auto" w:fill="F4CCCD" w:themeFill="accent2" w:themeFillTint="33"/>
          </w:tcPr>
          <w:p w14:paraId="5EF0C658" w14:textId="77777777" w:rsidR="002475D1" w:rsidRPr="003B4B6C" w:rsidRDefault="002475D1" w:rsidP="003B4B6C">
            <w:pPr>
              <w:pStyle w:val="BodyTextafterheading"/>
              <w:spacing w:before="60" w:after="60"/>
              <w:jc w:val="center"/>
              <w:rPr>
                <w:bCs/>
                <w:sz w:val="22"/>
                <w:szCs w:val="28"/>
              </w:rPr>
            </w:pPr>
            <w:r w:rsidRPr="003B4B6C">
              <w:rPr>
                <w:bCs/>
                <w:sz w:val="22"/>
                <w:szCs w:val="28"/>
              </w:rPr>
              <w:t xml:space="preserve">73.39% </w:t>
            </w:r>
            <w:r w:rsidRPr="003B4B6C">
              <w:rPr>
                <w:bCs/>
                <w:color w:val="C00000"/>
                <w:sz w:val="22"/>
                <w:szCs w:val="28"/>
              </w:rPr>
              <w:sym w:font="Symbol" w:char="F0AF"/>
            </w:r>
            <w:r w:rsidRPr="003B4B6C">
              <w:rPr>
                <w:bCs/>
                <w:sz w:val="22"/>
                <w:szCs w:val="28"/>
              </w:rPr>
              <w:t xml:space="preserve"> </w:t>
            </w:r>
          </w:p>
        </w:tc>
        <w:tc>
          <w:tcPr>
            <w:tcW w:w="1500" w:type="dxa"/>
          </w:tcPr>
          <w:p w14:paraId="55F60BD0" w14:textId="77777777" w:rsidR="002475D1" w:rsidRPr="003B4B6C" w:rsidRDefault="002475D1" w:rsidP="003B4B6C">
            <w:pPr>
              <w:pStyle w:val="BodyTextafterheading"/>
              <w:spacing w:before="60" w:after="60"/>
              <w:jc w:val="center"/>
              <w:rPr>
                <w:bCs/>
                <w:sz w:val="22"/>
                <w:szCs w:val="28"/>
              </w:rPr>
            </w:pPr>
            <w:r w:rsidRPr="003B4B6C">
              <w:rPr>
                <w:rFonts w:cs="Calibri"/>
                <w:bCs/>
                <w:color w:val="000000"/>
                <w:sz w:val="22"/>
                <w:szCs w:val="28"/>
              </w:rPr>
              <w:t>31%</w:t>
            </w:r>
          </w:p>
        </w:tc>
        <w:tc>
          <w:tcPr>
            <w:tcW w:w="1899" w:type="dxa"/>
            <w:shd w:val="clear" w:color="auto" w:fill="auto"/>
          </w:tcPr>
          <w:p w14:paraId="5B300F57" w14:textId="77777777" w:rsidR="002475D1" w:rsidRPr="003B4B6C" w:rsidRDefault="002475D1" w:rsidP="003B4B6C">
            <w:pPr>
              <w:pStyle w:val="BodyTextafterheading"/>
              <w:spacing w:before="60" w:after="60"/>
              <w:jc w:val="center"/>
              <w:rPr>
                <w:rFonts w:cs="Calibri"/>
                <w:bCs/>
                <w:color w:val="000000"/>
                <w:sz w:val="22"/>
                <w:szCs w:val="28"/>
              </w:rPr>
            </w:pPr>
            <w:r w:rsidRPr="003B4B6C">
              <w:rPr>
                <w:rFonts w:cs="Calibri"/>
                <w:bCs/>
                <w:color w:val="000000"/>
                <w:sz w:val="22"/>
                <w:szCs w:val="28"/>
              </w:rPr>
              <w:t>75.48%</w:t>
            </w:r>
          </w:p>
        </w:tc>
      </w:tr>
      <w:tr w:rsidR="003B4B6C" w:rsidRPr="00C55C70" w14:paraId="24BDFFA8" w14:textId="77777777" w:rsidTr="00310FEF">
        <w:tc>
          <w:tcPr>
            <w:tcW w:w="6565" w:type="dxa"/>
          </w:tcPr>
          <w:p w14:paraId="11C970C9" w14:textId="77777777" w:rsidR="002475D1" w:rsidRPr="003B4B6C" w:rsidRDefault="002475D1" w:rsidP="003B4B6C">
            <w:pPr>
              <w:pStyle w:val="BodyTextafterheading"/>
              <w:spacing w:before="60" w:after="60"/>
              <w:rPr>
                <w:bCs/>
                <w:color w:val="0D0D0D" w:themeColor="text2" w:themeTint="F2"/>
                <w:sz w:val="22"/>
                <w:szCs w:val="28"/>
              </w:rPr>
            </w:pPr>
            <w:r w:rsidRPr="003B4B6C">
              <w:rPr>
                <w:rFonts w:cs="Calibri"/>
                <w:bCs/>
                <w:color w:val="0D0D0D" w:themeColor="text2" w:themeTint="F2"/>
                <w:sz w:val="22"/>
                <w:szCs w:val="28"/>
              </w:rPr>
              <w:t>Influenza Immunization</w:t>
            </w:r>
          </w:p>
        </w:tc>
        <w:tc>
          <w:tcPr>
            <w:tcW w:w="1170" w:type="dxa"/>
          </w:tcPr>
          <w:p w14:paraId="77F88736" w14:textId="77777777" w:rsidR="002475D1" w:rsidRPr="003B4B6C" w:rsidRDefault="002475D1" w:rsidP="003B4B6C">
            <w:pPr>
              <w:pStyle w:val="BodyTextafterheading"/>
              <w:spacing w:before="60" w:after="60"/>
              <w:jc w:val="center"/>
              <w:rPr>
                <w:rFonts w:cs="Calibri"/>
                <w:bCs/>
                <w:color w:val="000000"/>
                <w:sz w:val="22"/>
                <w:szCs w:val="28"/>
              </w:rPr>
            </w:pPr>
            <w:r w:rsidRPr="003B4B6C">
              <w:rPr>
                <w:rFonts w:cs="Calibri"/>
                <w:bCs/>
                <w:color w:val="000000"/>
                <w:sz w:val="22"/>
                <w:szCs w:val="28"/>
              </w:rPr>
              <w:t>TIPPS</w:t>
            </w:r>
          </w:p>
        </w:tc>
        <w:tc>
          <w:tcPr>
            <w:tcW w:w="1500" w:type="dxa"/>
          </w:tcPr>
          <w:p w14:paraId="14682BAA" w14:textId="77777777" w:rsidR="002475D1" w:rsidRPr="003B4B6C" w:rsidRDefault="002475D1" w:rsidP="003B4B6C">
            <w:pPr>
              <w:pStyle w:val="BodyTextafterheading"/>
              <w:spacing w:before="60" w:after="60"/>
              <w:jc w:val="center"/>
              <w:rPr>
                <w:bCs/>
                <w:sz w:val="22"/>
                <w:szCs w:val="28"/>
              </w:rPr>
            </w:pPr>
            <w:r w:rsidRPr="003B4B6C">
              <w:rPr>
                <w:rFonts w:cs="Calibri"/>
                <w:bCs/>
                <w:color w:val="000000"/>
                <w:sz w:val="22"/>
                <w:szCs w:val="28"/>
              </w:rPr>
              <w:t>35.85%</w:t>
            </w:r>
          </w:p>
        </w:tc>
        <w:tc>
          <w:tcPr>
            <w:tcW w:w="1500" w:type="dxa"/>
            <w:shd w:val="clear" w:color="auto" w:fill="F4CCCD" w:themeFill="accent2" w:themeFillTint="33"/>
          </w:tcPr>
          <w:p w14:paraId="7B5FD4C6" w14:textId="77777777" w:rsidR="002475D1" w:rsidRPr="003B4B6C" w:rsidRDefault="002475D1" w:rsidP="003B4B6C">
            <w:pPr>
              <w:pStyle w:val="BodyTextafterheading"/>
              <w:spacing w:before="60" w:after="60"/>
              <w:jc w:val="center"/>
              <w:rPr>
                <w:bCs/>
                <w:sz w:val="22"/>
                <w:szCs w:val="28"/>
              </w:rPr>
            </w:pPr>
            <w:r w:rsidRPr="003B4B6C">
              <w:rPr>
                <w:bCs/>
                <w:sz w:val="22"/>
                <w:szCs w:val="28"/>
              </w:rPr>
              <w:t xml:space="preserve">31.14% </w:t>
            </w:r>
            <w:r w:rsidRPr="003B4B6C">
              <w:rPr>
                <w:bCs/>
                <w:color w:val="C00000"/>
                <w:sz w:val="22"/>
                <w:szCs w:val="28"/>
              </w:rPr>
              <w:sym w:font="Symbol" w:char="F0AF"/>
            </w:r>
          </w:p>
        </w:tc>
        <w:tc>
          <w:tcPr>
            <w:tcW w:w="1500" w:type="dxa"/>
          </w:tcPr>
          <w:p w14:paraId="26729CBA" w14:textId="77777777" w:rsidR="002475D1" w:rsidRPr="003B4B6C" w:rsidRDefault="002475D1" w:rsidP="003B4B6C">
            <w:pPr>
              <w:pStyle w:val="BodyTextafterheading"/>
              <w:spacing w:before="60" w:after="60"/>
              <w:jc w:val="center"/>
              <w:rPr>
                <w:bCs/>
                <w:sz w:val="22"/>
                <w:szCs w:val="28"/>
              </w:rPr>
            </w:pPr>
            <w:r w:rsidRPr="003B4B6C">
              <w:rPr>
                <w:rFonts w:cs="Calibri"/>
                <w:bCs/>
                <w:color w:val="000000"/>
                <w:sz w:val="22"/>
                <w:szCs w:val="28"/>
              </w:rPr>
              <w:t>37%</w:t>
            </w:r>
          </w:p>
        </w:tc>
        <w:tc>
          <w:tcPr>
            <w:tcW w:w="1899" w:type="dxa"/>
            <w:shd w:val="clear" w:color="auto" w:fill="auto"/>
          </w:tcPr>
          <w:p w14:paraId="15F35B86" w14:textId="77777777" w:rsidR="002475D1" w:rsidRPr="003B4B6C" w:rsidRDefault="002475D1" w:rsidP="003B4B6C">
            <w:pPr>
              <w:pStyle w:val="BodyTextafterheading"/>
              <w:spacing w:before="60" w:after="60"/>
              <w:jc w:val="center"/>
              <w:rPr>
                <w:rFonts w:cs="Calibri"/>
                <w:bCs/>
                <w:color w:val="000000"/>
                <w:sz w:val="22"/>
                <w:szCs w:val="28"/>
              </w:rPr>
            </w:pPr>
            <w:r w:rsidRPr="003B4B6C">
              <w:rPr>
                <w:rFonts w:cs="Calibri"/>
                <w:bCs/>
                <w:color w:val="000000"/>
                <w:sz w:val="22"/>
                <w:szCs w:val="28"/>
              </w:rPr>
              <w:t>40.81%</w:t>
            </w:r>
          </w:p>
        </w:tc>
      </w:tr>
      <w:tr w:rsidR="003B4B6C" w:rsidRPr="009D0694" w14:paraId="13D9F765" w14:textId="77777777" w:rsidTr="00310FEF">
        <w:tc>
          <w:tcPr>
            <w:tcW w:w="6565" w:type="dxa"/>
          </w:tcPr>
          <w:p w14:paraId="1DD617C0" w14:textId="77777777" w:rsidR="002475D1" w:rsidRPr="003B4B6C" w:rsidRDefault="002475D1" w:rsidP="003B4B6C">
            <w:pPr>
              <w:pStyle w:val="BodyTextafterheading"/>
              <w:spacing w:before="60" w:after="60"/>
              <w:rPr>
                <w:bCs/>
                <w:color w:val="0D0D0D" w:themeColor="text2" w:themeTint="F2"/>
                <w:sz w:val="22"/>
                <w:szCs w:val="28"/>
              </w:rPr>
            </w:pPr>
            <w:r w:rsidRPr="003B4B6C">
              <w:rPr>
                <w:rFonts w:cs="Calibri"/>
                <w:bCs/>
                <w:color w:val="0D0D0D" w:themeColor="text2" w:themeTint="F2"/>
                <w:sz w:val="22"/>
                <w:szCs w:val="28"/>
              </w:rPr>
              <w:t>Influenza Immunization</w:t>
            </w:r>
          </w:p>
        </w:tc>
        <w:tc>
          <w:tcPr>
            <w:tcW w:w="1170" w:type="dxa"/>
          </w:tcPr>
          <w:p w14:paraId="3959E3E3" w14:textId="77777777" w:rsidR="002475D1" w:rsidRPr="003B4B6C" w:rsidRDefault="002475D1" w:rsidP="003B4B6C">
            <w:pPr>
              <w:pStyle w:val="BodyTextafterheading"/>
              <w:spacing w:before="60" w:after="60"/>
              <w:jc w:val="center"/>
              <w:rPr>
                <w:rFonts w:cs="Calibri"/>
                <w:bCs/>
                <w:color w:val="000000"/>
                <w:sz w:val="22"/>
                <w:szCs w:val="28"/>
              </w:rPr>
            </w:pPr>
            <w:r w:rsidRPr="003B4B6C">
              <w:rPr>
                <w:rFonts w:cs="Calibri"/>
                <w:bCs/>
                <w:color w:val="000000"/>
                <w:sz w:val="22"/>
                <w:szCs w:val="28"/>
              </w:rPr>
              <w:t>RAPPS</w:t>
            </w:r>
          </w:p>
        </w:tc>
        <w:tc>
          <w:tcPr>
            <w:tcW w:w="1500" w:type="dxa"/>
          </w:tcPr>
          <w:p w14:paraId="48884BB6" w14:textId="77777777" w:rsidR="002475D1" w:rsidRPr="003B4B6C" w:rsidRDefault="002475D1" w:rsidP="003B4B6C">
            <w:pPr>
              <w:pStyle w:val="BodyTextafterheading"/>
              <w:spacing w:before="60" w:after="60"/>
              <w:jc w:val="center"/>
              <w:rPr>
                <w:bCs/>
                <w:sz w:val="22"/>
                <w:szCs w:val="28"/>
              </w:rPr>
            </w:pPr>
            <w:r w:rsidRPr="003B4B6C">
              <w:rPr>
                <w:rFonts w:cs="Calibri"/>
                <w:bCs/>
                <w:color w:val="000000"/>
                <w:sz w:val="22"/>
                <w:szCs w:val="28"/>
              </w:rPr>
              <w:t>19.25%</w:t>
            </w:r>
          </w:p>
        </w:tc>
        <w:tc>
          <w:tcPr>
            <w:tcW w:w="1500" w:type="dxa"/>
            <w:shd w:val="clear" w:color="auto" w:fill="F4CCCD" w:themeFill="accent2" w:themeFillTint="33"/>
          </w:tcPr>
          <w:p w14:paraId="2FCD7390" w14:textId="77777777" w:rsidR="002475D1" w:rsidRPr="003B4B6C" w:rsidRDefault="002475D1" w:rsidP="003B4B6C">
            <w:pPr>
              <w:pStyle w:val="BodyTextafterheading"/>
              <w:spacing w:before="60" w:after="60"/>
              <w:jc w:val="center"/>
              <w:rPr>
                <w:bCs/>
                <w:sz w:val="22"/>
                <w:szCs w:val="28"/>
              </w:rPr>
            </w:pPr>
            <w:r w:rsidRPr="003B4B6C">
              <w:rPr>
                <w:bCs/>
                <w:sz w:val="22"/>
                <w:szCs w:val="28"/>
              </w:rPr>
              <w:t xml:space="preserve">15.84% </w:t>
            </w:r>
            <w:r w:rsidRPr="003B4B6C">
              <w:rPr>
                <w:bCs/>
                <w:color w:val="C00000"/>
                <w:sz w:val="22"/>
                <w:szCs w:val="28"/>
              </w:rPr>
              <w:sym w:font="Symbol" w:char="F0AF"/>
            </w:r>
          </w:p>
        </w:tc>
        <w:tc>
          <w:tcPr>
            <w:tcW w:w="1500" w:type="dxa"/>
          </w:tcPr>
          <w:p w14:paraId="77D72B1C" w14:textId="77777777" w:rsidR="002475D1" w:rsidRPr="003B4B6C" w:rsidRDefault="002475D1" w:rsidP="003B4B6C">
            <w:pPr>
              <w:pStyle w:val="BodyTextafterheading"/>
              <w:spacing w:before="60" w:after="60"/>
              <w:jc w:val="center"/>
              <w:rPr>
                <w:bCs/>
                <w:sz w:val="22"/>
                <w:szCs w:val="28"/>
              </w:rPr>
            </w:pPr>
            <w:r w:rsidRPr="003B4B6C">
              <w:rPr>
                <w:rFonts w:cs="Calibri"/>
                <w:bCs/>
                <w:color w:val="000000"/>
                <w:sz w:val="22"/>
                <w:szCs w:val="28"/>
              </w:rPr>
              <w:t>43%</w:t>
            </w:r>
          </w:p>
        </w:tc>
        <w:tc>
          <w:tcPr>
            <w:tcW w:w="1899" w:type="dxa"/>
            <w:shd w:val="clear" w:color="auto" w:fill="auto"/>
          </w:tcPr>
          <w:p w14:paraId="149DBC2C" w14:textId="77777777" w:rsidR="002475D1" w:rsidRPr="003B4B6C" w:rsidRDefault="002475D1" w:rsidP="003B4B6C">
            <w:pPr>
              <w:pStyle w:val="BodyTextafterheading"/>
              <w:spacing w:before="60" w:after="60"/>
              <w:jc w:val="center"/>
              <w:rPr>
                <w:rFonts w:cs="Calibri"/>
                <w:bCs/>
                <w:color w:val="000000"/>
                <w:sz w:val="22"/>
                <w:szCs w:val="28"/>
              </w:rPr>
            </w:pPr>
            <w:r w:rsidRPr="003B4B6C">
              <w:rPr>
                <w:rFonts w:cs="Calibri"/>
                <w:bCs/>
                <w:color w:val="000000"/>
                <w:sz w:val="22"/>
                <w:szCs w:val="28"/>
              </w:rPr>
              <w:t>24.30%</w:t>
            </w:r>
          </w:p>
        </w:tc>
      </w:tr>
      <w:tr w:rsidR="003B4B6C" w:rsidRPr="00C55C70" w14:paraId="0702A48B" w14:textId="77777777" w:rsidTr="00310FEF">
        <w:tc>
          <w:tcPr>
            <w:tcW w:w="6565" w:type="dxa"/>
          </w:tcPr>
          <w:p w14:paraId="381AC231" w14:textId="77777777" w:rsidR="002475D1" w:rsidRPr="003B4B6C" w:rsidRDefault="002475D1" w:rsidP="003B4B6C">
            <w:pPr>
              <w:pStyle w:val="BodyTextafterheading"/>
              <w:spacing w:before="60" w:after="60"/>
              <w:rPr>
                <w:bCs/>
                <w:color w:val="0D0D0D" w:themeColor="text2" w:themeTint="F2"/>
                <w:sz w:val="22"/>
                <w:szCs w:val="28"/>
              </w:rPr>
            </w:pPr>
            <w:r w:rsidRPr="003B4B6C">
              <w:rPr>
                <w:rFonts w:cs="Calibri"/>
                <w:bCs/>
                <w:color w:val="0D0D0D" w:themeColor="text2" w:themeTint="F2"/>
                <w:sz w:val="22"/>
                <w:szCs w:val="28"/>
              </w:rPr>
              <w:t xml:space="preserve">Childhood Immunization Status </w:t>
            </w:r>
          </w:p>
        </w:tc>
        <w:tc>
          <w:tcPr>
            <w:tcW w:w="1170" w:type="dxa"/>
          </w:tcPr>
          <w:p w14:paraId="7598A917" w14:textId="77777777" w:rsidR="002475D1" w:rsidRPr="003B4B6C" w:rsidRDefault="002475D1" w:rsidP="003B4B6C">
            <w:pPr>
              <w:pStyle w:val="BodyTextafterheading"/>
              <w:spacing w:before="60" w:after="60"/>
              <w:jc w:val="center"/>
              <w:rPr>
                <w:rFonts w:cs="Calibri"/>
                <w:bCs/>
                <w:color w:val="000000"/>
                <w:sz w:val="22"/>
                <w:szCs w:val="28"/>
              </w:rPr>
            </w:pPr>
            <w:r w:rsidRPr="003B4B6C">
              <w:rPr>
                <w:rFonts w:cs="Calibri"/>
                <w:bCs/>
                <w:color w:val="000000"/>
                <w:sz w:val="22"/>
                <w:szCs w:val="28"/>
              </w:rPr>
              <w:t>TIPPS</w:t>
            </w:r>
          </w:p>
        </w:tc>
        <w:tc>
          <w:tcPr>
            <w:tcW w:w="1500" w:type="dxa"/>
          </w:tcPr>
          <w:p w14:paraId="7C9BDFA6" w14:textId="77777777" w:rsidR="002475D1" w:rsidRPr="003B4B6C" w:rsidRDefault="002475D1" w:rsidP="003B4B6C">
            <w:pPr>
              <w:pStyle w:val="BodyTextafterheading"/>
              <w:spacing w:before="60" w:after="60"/>
              <w:jc w:val="center"/>
              <w:rPr>
                <w:bCs/>
                <w:sz w:val="22"/>
                <w:szCs w:val="28"/>
              </w:rPr>
            </w:pPr>
            <w:r w:rsidRPr="003B4B6C">
              <w:rPr>
                <w:rFonts w:cs="Calibri"/>
                <w:bCs/>
                <w:color w:val="000000"/>
                <w:sz w:val="22"/>
                <w:szCs w:val="28"/>
              </w:rPr>
              <w:t>22.17%</w:t>
            </w:r>
          </w:p>
        </w:tc>
        <w:tc>
          <w:tcPr>
            <w:tcW w:w="1500" w:type="dxa"/>
            <w:shd w:val="clear" w:color="auto" w:fill="F4CCCD" w:themeFill="accent2" w:themeFillTint="33"/>
          </w:tcPr>
          <w:p w14:paraId="02DFCCBC" w14:textId="77777777" w:rsidR="002475D1" w:rsidRPr="003B4B6C" w:rsidRDefault="002475D1" w:rsidP="003B4B6C">
            <w:pPr>
              <w:pStyle w:val="BodyTextafterheading"/>
              <w:spacing w:before="60" w:after="60"/>
              <w:jc w:val="center"/>
              <w:rPr>
                <w:bCs/>
                <w:sz w:val="22"/>
                <w:szCs w:val="28"/>
              </w:rPr>
            </w:pPr>
            <w:r w:rsidRPr="003B4B6C">
              <w:rPr>
                <w:bCs/>
                <w:sz w:val="22"/>
                <w:szCs w:val="28"/>
              </w:rPr>
              <w:t xml:space="preserve">15.13% </w:t>
            </w:r>
            <w:r w:rsidRPr="003B4B6C">
              <w:rPr>
                <w:bCs/>
                <w:color w:val="C00000"/>
                <w:sz w:val="22"/>
                <w:szCs w:val="28"/>
              </w:rPr>
              <w:sym w:font="Symbol" w:char="F0AF"/>
            </w:r>
          </w:p>
        </w:tc>
        <w:tc>
          <w:tcPr>
            <w:tcW w:w="1500" w:type="dxa"/>
          </w:tcPr>
          <w:p w14:paraId="5EBDEB49" w14:textId="77777777" w:rsidR="002475D1" w:rsidRPr="003B4B6C" w:rsidRDefault="002475D1" w:rsidP="003B4B6C">
            <w:pPr>
              <w:pStyle w:val="BodyTextafterheading"/>
              <w:spacing w:before="60" w:after="60"/>
              <w:jc w:val="center"/>
              <w:rPr>
                <w:bCs/>
                <w:sz w:val="22"/>
                <w:szCs w:val="28"/>
              </w:rPr>
            </w:pPr>
            <w:r w:rsidRPr="003B4B6C">
              <w:rPr>
                <w:rFonts w:cs="Calibri"/>
                <w:bCs/>
                <w:color w:val="000000"/>
                <w:sz w:val="22"/>
                <w:szCs w:val="28"/>
              </w:rPr>
              <w:t>47%</w:t>
            </w:r>
          </w:p>
        </w:tc>
        <w:tc>
          <w:tcPr>
            <w:tcW w:w="1899" w:type="dxa"/>
            <w:shd w:val="clear" w:color="auto" w:fill="auto"/>
          </w:tcPr>
          <w:p w14:paraId="36F8490E" w14:textId="77777777" w:rsidR="002475D1" w:rsidRPr="003B4B6C" w:rsidRDefault="002475D1" w:rsidP="003B4B6C">
            <w:pPr>
              <w:pStyle w:val="BodyTextafterheading"/>
              <w:spacing w:before="60" w:after="60"/>
              <w:jc w:val="center"/>
              <w:rPr>
                <w:rFonts w:cs="Calibri"/>
                <w:bCs/>
                <w:color w:val="000000"/>
                <w:sz w:val="22"/>
                <w:szCs w:val="28"/>
              </w:rPr>
            </w:pPr>
            <w:r w:rsidRPr="003B4B6C">
              <w:rPr>
                <w:rFonts w:cs="Calibri"/>
                <w:bCs/>
                <w:color w:val="000000"/>
                <w:sz w:val="22"/>
                <w:szCs w:val="28"/>
              </w:rPr>
              <w:t>28.95%</w:t>
            </w:r>
          </w:p>
        </w:tc>
      </w:tr>
      <w:tr w:rsidR="003B4B6C" w:rsidRPr="00C55C70" w14:paraId="17CBFADA" w14:textId="77777777" w:rsidTr="00310FEF">
        <w:tc>
          <w:tcPr>
            <w:tcW w:w="6565" w:type="dxa"/>
          </w:tcPr>
          <w:p w14:paraId="16A56229" w14:textId="77777777" w:rsidR="002475D1" w:rsidRPr="003B4B6C" w:rsidRDefault="002475D1" w:rsidP="003B4B6C">
            <w:pPr>
              <w:pStyle w:val="BodyTextafterheading"/>
              <w:spacing w:before="60" w:after="60"/>
              <w:rPr>
                <w:bCs/>
                <w:color w:val="0D0D0D" w:themeColor="text2" w:themeTint="F2"/>
                <w:sz w:val="22"/>
                <w:szCs w:val="28"/>
              </w:rPr>
            </w:pPr>
            <w:r w:rsidRPr="003B4B6C">
              <w:rPr>
                <w:rFonts w:cs="Calibri"/>
                <w:bCs/>
                <w:color w:val="0D0D0D" w:themeColor="text2" w:themeTint="F2"/>
                <w:sz w:val="22"/>
                <w:szCs w:val="28"/>
              </w:rPr>
              <w:t>Immunizations for Adolescents</w:t>
            </w:r>
          </w:p>
        </w:tc>
        <w:tc>
          <w:tcPr>
            <w:tcW w:w="1170" w:type="dxa"/>
          </w:tcPr>
          <w:p w14:paraId="61B36CAD" w14:textId="77777777" w:rsidR="002475D1" w:rsidRPr="003B4B6C" w:rsidRDefault="002475D1" w:rsidP="003B4B6C">
            <w:pPr>
              <w:pStyle w:val="BodyTextafterheading"/>
              <w:spacing w:before="60" w:after="60"/>
              <w:jc w:val="center"/>
              <w:rPr>
                <w:rFonts w:cs="Calibri"/>
                <w:bCs/>
                <w:color w:val="000000"/>
                <w:sz w:val="22"/>
                <w:szCs w:val="28"/>
              </w:rPr>
            </w:pPr>
            <w:r w:rsidRPr="003B4B6C">
              <w:rPr>
                <w:rFonts w:cs="Calibri"/>
                <w:bCs/>
                <w:color w:val="000000"/>
                <w:sz w:val="22"/>
                <w:szCs w:val="28"/>
              </w:rPr>
              <w:t>TIPPS</w:t>
            </w:r>
          </w:p>
        </w:tc>
        <w:tc>
          <w:tcPr>
            <w:tcW w:w="1500" w:type="dxa"/>
          </w:tcPr>
          <w:p w14:paraId="3B5D0203" w14:textId="77777777" w:rsidR="002475D1" w:rsidRPr="003B4B6C" w:rsidRDefault="002475D1" w:rsidP="003B4B6C">
            <w:pPr>
              <w:pStyle w:val="BodyTextafterheading"/>
              <w:spacing w:before="60" w:after="60"/>
              <w:jc w:val="center"/>
              <w:rPr>
                <w:bCs/>
                <w:sz w:val="22"/>
                <w:szCs w:val="28"/>
              </w:rPr>
            </w:pPr>
            <w:r w:rsidRPr="003B4B6C">
              <w:rPr>
                <w:rFonts w:cs="Calibri"/>
                <w:bCs/>
                <w:color w:val="000000"/>
                <w:sz w:val="22"/>
                <w:szCs w:val="28"/>
              </w:rPr>
              <w:t>35.20%</w:t>
            </w:r>
          </w:p>
        </w:tc>
        <w:tc>
          <w:tcPr>
            <w:tcW w:w="1500" w:type="dxa"/>
            <w:shd w:val="clear" w:color="auto" w:fill="E1F2DA" w:themeFill="accent3" w:themeFillTint="33"/>
          </w:tcPr>
          <w:p w14:paraId="7A230CC5" w14:textId="77777777" w:rsidR="002475D1" w:rsidRPr="003B4B6C" w:rsidRDefault="002475D1" w:rsidP="003B4B6C">
            <w:pPr>
              <w:pStyle w:val="BodyTextafterheading"/>
              <w:spacing w:before="60" w:after="60"/>
              <w:jc w:val="center"/>
              <w:rPr>
                <w:bCs/>
                <w:sz w:val="22"/>
                <w:szCs w:val="28"/>
              </w:rPr>
            </w:pPr>
            <w:r w:rsidRPr="003B4B6C">
              <w:rPr>
                <w:bCs/>
                <w:sz w:val="22"/>
                <w:szCs w:val="28"/>
              </w:rPr>
              <w:t xml:space="preserve">39.02% </w:t>
            </w:r>
            <w:r w:rsidRPr="003B4B6C">
              <w:rPr>
                <w:rFonts w:cs="Calibri"/>
                <w:bCs/>
                <w:color w:val="00B050"/>
                <w:sz w:val="22"/>
                <w:szCs w:val="28"/>
              </w:rPr>
              <w:sym w:font="Symbol" w:char="F0AD"/>
            </w:r>
          </w:p>
        </w:tc>
        <w:tc>
          <w:tcPr>
            <w:tcW w:w="1500" w:type="dxa"/>
          </w:tcPr>
          <w:p w14:paraId="2DADE00C" w14:textId="77777777" w:rsidR="002475D1" w:rsidRPr="003B4B6C" w:rsidRDefault="002475D1" w:rsidP="003B4B6C">
            <w:pPr>
              <w:pStyle w:val="BodyTextafterheading"/>
              <w:spacing w:before="60" w:after="60"/>
              <w:jc w:val="center"/>
              <w:rPr>
                <w:bCs/>
                <w:sz w:val="22"/>
                <w:szCs w:val="28"/>
              </w:rPr>
            </w:pPr>
            <w:r w:rsidRPr="003B4B6C">
              <w:rPr>
                <w:rFonts w:cs="Calibri"/>
                <w:bCs/>
                <w:color w:val="000000"/>
                <w:sz w:val="22"/>
                <w:szCs w:val="28"/>
              </w:rPr>
              <w:t>57%</w:t>
            </w:r>
          </w:p>
        </w:tc>
        <w:tc>
          <w:tcPr>
            <w:tcW w:w="1899" w:type="dxa"/>
            <w:shd w:val="clear" w:color="auto" w:fill="auto"/>
          </w:tcPr>
          <w:p w14:paraId="0278F738" w14:textId="77777777" w:rsidR="002475D1" w:rsidRPr="003B4B6C" w:rsidRDefault="002475D1" w:rsidP="003B4B6C">
            <w:pPr>
              <w:pStyle w:val="BodyTextafterheading"/>
              <w:spacing w:before="60" w:after="60"/>
              <w:jc w:val="center"/>
              <w:rPr>
                <w:rFonts w:cs="Calibri"/>
                <w:bCs/>
                <w:color w:val="000000"/>
                <w:sz w:val="22"/>
                <w:szCs w:val="28"/>
              </w:rPr>
            </w:pPr>
            <w:r w:rsidRPr="003B4B6C">
              <w:rPr>
                <w:rFonts w:cs="Calibri"/>
                <w:bCs/>
                <w:color w:val="000000"/>
                <w:sz w:val="22"/>
                <w:szCs w:val="28"/>
              </w:rPr>
              <w:t>41.12%</w:t>
            </w:r>
          </w:p>
        </w:tc>
      </w:tr>
      <w:tr w:rsidR="003B4B6C" w:rsidRPr="00C55C70" w14:paraId="5317CA90" w14:textId="77777777" w:rsidTr="00310FEF">
        <w:tc>
          <w:tcPr>
            <w:tcW w:w="6565" w:type="dxa"/>
          </w:tcPr>
          <w:p w14:paraId="187857CA" w14:textId="77777777" w:rsidR="002475D1" w:rsidRPr="003B4B6C" w:rsidRDefault="002475D1" w:rsidP="003B4B6C">
            <w:pPr>
              <w:pStyle w:val="BodyTextafterheading"/>
              <w:spacing w:before="60" w:after="60"/>
              <w:rPr>
                <w:bCs/>
                <w:color w:val="0D0D0D" w:themeColor="text2" w:themeTint="F2"/>
                <w:sz w:val="22"/>
                <w:szCs w:val="28"/>
              </w:rPr>
            </w:pPr>
            <w:r w:rsidRPr="003B4B6C">
              <w:rPr>
                <w:rFonts w:cs="Calibri"/>
                <w:bCs/>
                <w:color w:val="0D0D0D" w:themeColor="text2" w:themeTint="F2"/>
                <w:sz w:val="22"/>
                <w:szCs w:val="28"/>
              </w:rPr>
              <w:t>Food Insecurity Screening</w:t>
            </w:r>
          </w:p>
        </w:tc>
        <w:tc>
          <w:tcPr>
            <w:tcW w:w="1170" w:type="dxa"/>
          </w:tcPr>
          <w:p w14:paraId="5BCCA10B" w14:textId="77777777" w:rsidR="002475D1" w:rsidRPr="003B4B6C" w:rsidRDefault="002475D1" w:rsidP="003B4B6C">
            <w:pPr>
              <w:pStyle w:val="BodyTextafterheading"/>
              <w:spacing w:before="60" w:after="60"/>
              <w:jc w:val="center"/>
              <w:rPr>
                <w:rFonts w:cs="Calibri"/>
                <w:bCs/>
                <w:color w:val="000000"/>
                <w:sz w:val="22"/>
                <w:szCs w:val="28"/>
              </w:rPr>
            </w:pPr>
            <w:r w:rsidRPr="003B4B6C">
              <w:rPr>
                <w:rFonts w:cs="Calibri"/>
                <w:bCs/>
                <w:color w:val="000000"/>
                <w:sz w:val="22"/>
                <w:szCs w:val="28"/>
              </w:rPr>
              <w:t>TIPPS</w:t>
            </w:r>
          </w:p>
        </w:tc>
        <w:tc>
          <w:tcPr>
            <w:tcW w:w="1500" w:type="dxa"/>
          </w:tcPr>
          <w:p w14:paraId="544B19D5" w14:textId="77777777" w:rsidR="002475D1" w:rsidRPr="003B4B6C" w:rsidRDefault="002475D1" w:rsidP="003B4B6C">
            <w:pPr>
              <w:pStyle w:val="BodyTextafterheading"/>
              <w:spacing w:before="60" w:after="60"/>
              <w:jc w:val="center"/>
              <w:rPr>
                <w:bCs/>
                <w:sz w:val="22"/>
                <w:szCs w:val="28"/>
              </w:rPr>
            </w:pPr>
            <w:r w:rsidRPr="003B4B6C">
              <w:rPr>
                <w:rFonts w:cs="Calibri"/>
                <w:bCs/>
                <w:color w:val="000000"/>
                <w:sz w:val="22"/>
                <w:szCs w:val="28"/>
              </w:rPr>
              <w:t>0.00%</w:t>
            </w:r>
          </w:p>
        </w:tc>
        <w:tc>
          <w:tcPr>
            <w:tcW w:w="1500" w:type="dxa"/>
            <w:shd w:val="clear" w:color="auto" w:fill="E1F2DA" w:themeFill="accent3" w:themeFillTint="33"/>
          </w:tcPr>
          <w:p w14:paraId="602ADD5D" w14:textId="77777777" w:rsidR="002475D1" w:rsidRPr="003B4B6C" w:rsidRDefault="002475D1" w:rsidP="003B4B6C">
            <w:pPr>
              <w:pStyle w:val="BodyTextafterheading"/>
              <w:spacing w:before="60" w:after="60"/>
              <w:jc w:val="center"/>
              <w:rPr>
                <w:bCs/>
                <w:sz w:val="22"/>
                <w:szCs w:val="28"/>
              </w:rPr>
            </w:pPr>
            <w:r w:rsidRPr="003B4B6C">
              <w:rPr>
                <w:bCs/>
                <w:sz w:val="22"/>
                <w:szCs w:val="28"/>
              </w:rPr>
              <w:t xml:space="preserve">3.21% </w:t>
            </w:r>
            <w:r w:rsidRPr="003B4B6C">
              <w:rPr>
                <w:rFonts w:cs="Calibri"/>
                <w:bCs/>
                <w:color w:val="00B050"/>
                <w:sz w:val="22"/>
                <w:szCs w:val="28"/>
              </w:rPr>
              <w:sym w:font="Symbol" w:char="F0AD"/>
            </w:r>
          </w:p>
        </w:tc>
        <w:tc>
          <w:tcPr>
            <w:tcW w:w="1500" w:type="dxa"/>
          </w:tcPr>
          <w:p w14:paraId="677B2295" w14:textId="77777777" w:rsidR="002475D1" w:rsidRPr="003B4B6C" w:rsidRDefault="002475D1" w:rsidP="003B4B6C">
            <w:pPr>
              <w:pStyle w:val="BodyTextafterheading"/>
              <w:spacing w:before="60" w:after="60"/>
              <w:jc w:val="center"/>
              <w:rPr>
                <w:bCs/>
                <w:sz w:val="22"/>
                <w:szCs w:val="28"/>
              </w:rPr>
            </w:pPr>
            <w:r w:rsidRPr="003B4B6C">
              <w:rPr>
                <w:rFonts w:cs="Calibri"/>
                <w:bCs/>
                <w:color w:val="000000"/>
                <w:sz w:val="22"/>
                <w:szCs w:val="28"/>
              </w:rPr>
              <w:t>82%</w:t>
            </w:r>
          </w:p>
        </w:tc>
        <w:tc>
          <w:tcPr>
            <w:tcW w:w="1899" w:type="dxa"/>
            <w:shd w:val="clear" w:color="auto" w:fill="auto"/>
          </w:tcPr>
          <w:p w14:paraId="79EA9A3F" w14:textId="77777777" w:rsidR="002475D1" w:rsidRPr="003B4B6C" w:rsidRDefault="002475D1" w:rsidP="003B4B6C">
            <w:pPr>
              <w:pStyle w:val="BodyTextafterheading"/>
              <w:spacing w:before="60" w:after="60"/>
              <w:jc w:val="center"/>
              <w:rPr>
                <w:rFonts w:cs="Calibri"/>
                <w:bCs/>
                <w:color w:val="000000"/>
                <w:sz w:val="22"/>
                <w:szCs w:val="28"/>
              </w:rPr>
            </w:pPr>
            <w:r w:rsidRPr="003B4B6C">
              <w:rPr>
                <w:rFonts w:cs="Calibri"/>
                <w:bCs/>
                <w:color w:val="000000"/>
                <w:sz w:val="22"/>
                <w:szCs w:val="28"/>
              </w:rPr>
              <w:t>10.00%</w:t>
            </w:r>
          </w:p>
        </w:tc>
      </w:tr>
    </w:tbl>
    <w:p w14:paraId="194A9348" w14:textId="4C058C82" w:rsidR="002475D1" w:rsidRDefault="002475D1" w:rsidP="002475D1">
      <w:pPr>
        <w:pStyle w:val="Heading2"/>
        <w:rPr>
          <w:sz w:val="28"/>
          <w:szCs w:val="28"/>
        </w:rPr>
      </w:pPr>
      <w:bookmarkStart w:id="520" w:name="_Toc156487101"/>
      <w:bookmarkStart w:id="521" w:name="_Toc157413988"/>
      <w:r w:rsidRPr="00D66E3A">
        <w:rPr>
          <w:sz w:val="28"/>
          <w:szCs w:val="28"/>
        </w:rPr>
        <w:lastRenderedPageBreak/>
        <w:t xml:space="preserve">Table </w:t>
      </w:r>
      <w:r>
        <w:rPr>
          <w:sz w:val="28"/>
          <w:szCs w:val="28"/>
        </w:rPr>
        <w:t>2:</w:t>
      </w:r>
      <w:r w:rsidRPr="00D66E3A">
        <w:rPr>
          <w:sz w:val="28"/>
          <w:szCs w:val="28"/>
        </w:rPr>
        <w:t xml:space="preserve"> </w:t>
      </w:r>
      <w:r w:rsidRPr="002475D1">
        <w:rPr>
          <w:sz w:val="28"/>
          <w:szCs w:val="28"/>
        </w:rPr>
        <w:t xml:space="preserve">Free from Harm </w:t>
      </w:r>
      <w:r>
        <w:rPr>
          <w:sz w:val="28"/>
          <w:szCs w:val="28"/>
        </w:rPr>
        <w:t>Qua</w:t>
      </w:r>
      <w:r w:rsidRPr="00CA30B4">
        <w:rPr>
          <w:sz w:val="28"/>
          <w:szCs w:val="28"/>
        </w:rPr>
        <w:t>lity Strategy Goal</w:t>
      </w:r>
      <w:bookmarkEnd w:id="520"/>
      <w:bookmarkEnd w:id="521"/>
    </w:p>
    <w:p w14:paraId="5D00FC02" w14:textId="44562888" w:rsidR="002475D1" w:rsidRPr="00B37721" w:rsidRDefault="002475D1" w:rsidP="002475D1">
      <w:pPr>
        <w:pStyle w:val="BodyText"/>
        <w:rPr>
          <w:szCs w:val="22"/>
        </w:rPr>
      </w:pPr>
      <w:r w:rsidRPr="00B37721">
        <w:rPr>
          <w:szCs w:val="22"/>
        </w:rPr>
        <w:t>Did the DPPs keep patients free from harm by building a safer healthcare system that limits human error?</w:t>
      </w:r>
    </w:p>
    <w:tbl>
      <w:tblPr>
        <w:tblStyle w:val="TableGrid"/>
        <w:tblW w:w="14305" w:type="dxa"/>
        <w:tblLayout w:type="fixed"/>
        <w:tblLook w:val="04A0" w:firstRow="1" w:lastRow="0" w:firstColumn="1" w:lastColumn="0" w:noHBand="0" w:noVBand="1"/>
      </w:tblPr>
      <w:tblGrid>
        <w:gridCol w:w="6534"/>
        <w:gridCol w:w="976"/>
        <w:gridCol w:w="1575"/>
        <w:gridCol w:w="1575"/>
        <w:gridCol w:w="1575"/>
        <w:gridCol w:w="2070"/>
      </w:tblGrid>
      <w:tr w:rsidR="002475D1" w:rsidRPr="002475D1" w14:paraId="6C49984E" w14:textId="77777777" w:rsidTr="002E757C">
        <w:trPr>
          <w:trHeight w:val="1248"/>
        </w:trPr>
        <w:tc>
          <w:tcPr>
            <w:tcW w:w="6534" w:type="dxa"/>
            <w:shd w:val="clear" w:color="auto" w:fill="8BA8E2" w:themeFill="text1" w:themeFillTint="66"/>
            <w:hideMark/>
          </w:tcPr>
          <w:p w14:paraId="4A4F037C" w14:textId="77777777" w:rsidR="002475D1" w:rsidRPr="00B37721" w:rsidRDefault="002475D1" w:rsidP="00B37721">
            <w:pPr>
              <w:spacing w:before="20" w:after="20"/>
              <w:jc w:val="center"/>
              <w:rPr>
                <w:b/>
                <w:color w:val="0F1E3C" w:themeColor="text1" w:themeShade="80"/>
              </w:rPr>
            </w:pPr>
            <w:r w:rsidRPr="00B37721">
              <w:rPr>
                <w:b/>
                <w:color w:val="0F1E3C" w:themeColor="text1" w:themeShade="80"/>
              </w:rPr>
              <w:t>Measure Name</w:t>
            </w:r>
          </w:p>
        </w:tc>
        <w:tc>
          <w:tcPr>
            <w:tcW w:w="976" w:type="dxa"/>
            <w:shd w:val="clear" w:color="auto" w:fill="8BA8E2" w:themeFill="text1" w:themeFillTint="66"/>
          </w:tcPr>
          <w:p w14:paraId="544590AD" w14:textId="77777777" w:rsidR="002475D1" w:rsidRPr="00B37721" w:rsidRDefault="002475D1" w:rsidP="00B37721">
            <w:pPr>
              <w:spacing w:before="20" w:after="20"/>
              <w:jc w:val="center"/>
              <w:rPr>
                <w:b/>
              </w:rPr>
            </w:pPr>
            <w:r w:rsidRPr="00B37721">
              <w:rPr>
                <w:b/>
              </w:rPr>
              <w:t>DPP</w:t>
            </w:r>
          </w:p>
        </w:tc>
        <w:tc>
          <w:tcPr>
            <w:tcW w:w="1575" w:type="dxa"/>
            <w:shd w:val="clear" w:color="auto" w:fill="8BA8E2" w:themeFill="text1" w:themeFillTint="66"/>
            <w:hideMark/>
          </w:tcPr>
          <w:p w14:paraId="0BCC1484" w14:textId="085BDA68" w:rsidR="002475D1" w:rsidRPr="00B37721" w:rsidRDefault="002475D1" w:rsidP="00B37721">
            <w:pPr>
              <w:spacing w:before="20" w:after="20"/>
              <w:jc w:val="center"/>
              <w:rPr>
                <w:b/>
              </w:rPr>
            </w:pPr>
            <w:r w:rsidRPr="00B37721">
              <w:rPr>
                <w:b/>
              </w:rPr>
              <w:t>Median Rate 2021 (Baseline Year)</w:t>
            </w:r>
            <w:r w:rsidR="00310FEF" w:rsidRPr="00310FEF">
              <w:rPr>
                <w:rStyle w:val="FootnoteReference"/>
                <w:b/>
                <w:bCs/>
              </w:rPr>
              <w:footnoteReference w:id="19"/>
            </w:r>
          </w:p>
        </w:tc>
        <w:tc>
          <w:tcPr>
            <w:tcW w:w="1575" w:type="dxa"/>
            <w:shd w:val="clear" w:color="auto" w:fill="8BA8E2" w:themeFill="text1" w:themeFillTint="66"/>
          </w:tcPr>
          <w:p w14:paraId="2F3BD35C" w14:textId="77777777" w:rsidR="002475D1" w:rsidRPr="00B37721" w:rsidRDefault="002475D1" w:rsidP="00B37721">
            <w:pPr>
              <w:spacing w:before="20" w:after="20"/>
              <w:jc w:val="center"/>
              <w:rPr>
                <w:b/>
              </w:rPr>
            </w:pPr>
            <w:r w:rsidRPr="00B37721">
              <w:rPr>
                <w:b/>
              </w:rPr>
              <w:t>Median Rate 2022</w:t>
            </w:r>
            <w:r w:rsidRPr="00B37721">
              <w:rPr>
                <w:rStyle w:val="FootnoteReference"/>
                <w:b/>
              </w:rPr>
              <w:footnoteReference w:id="20"/>
            </w:r>
          </w:p>
        </w:tc>
        <w:tc>
          <w:tcPr>
            <w:tcW w:w="1575" w:type="dxa"/>
            <w:shd w:val="clear" w:color="auto" w:fill="8BA8E2" w:themeFill="text1" w:themeFillTint="66"/>
            <w:hideMark/>
          </w:tcPr>
          <w:p w14:paraId="25284E3C" w14:textId="77777777" w:rsidR="002475D1" w:rsidRPr="00B37721" w:rsidRDefault="002475D1" w:rsidP="00B37721">
            <w:pPr>
              <w:spacing w:before="20" w:after="20"/>
              <w:jc w:val="center"/>
              <w:rPr>
                <w:b/>
              </w:rPr>
            </w:pPr>
            <w:r w:rsidRPr="00B37721">
              <w:rPr>
                <w:b/>
              </w:rPr>
              <w:t>% of Providers that Improved in 2022</w:t>
            </w:r>
            <w:r w:rsidRPr="00B37721">
              <w:rPr>
                <w:rStyle w:val="FootnoteReference"/>
                <w:b/>
              </w:rPr>
              <w:footnoteReference w:id="21"/>
            </w:r>
          </w:p>
        </w:tc>
        <w:tc>
          <w:tcPr>
            <w:tcW w:w="2070" w:type="dxa"/>
            <w:shd w:val="clear" w:color="auto" w:fill="8BA8E2" w:themeFill="text1" w:themeFillTint="66"/>
          </w:tcPr>
          <w:p w14:paraId="164E1729" w14:textId="27C3CD8C" w:rsidR="002475D1" w:rsidRPr="00B37721" w:rsidRDefault="00310FEF" w:rsidP="00B37721">
            <w:pPr>
              <w:spacing w:before="20" w:after="20"/>
              <w:jc w:val="center"/>
              <w:rPr>
                <w:b/>
              </w:rPr>
            </w:pPr>
            <w:r w:rsidRPr="00310FEF">
              <w:rPr>
                <w:b/>
                <w:bCs/>
              </w:rPr>
              <w:t>CY2022 and CY2023 Evaluation Target</w:t>
            </w:r>
            <w:r w:rsidRPr="00310FEF">
              <w:rPr>
                <w:rStyle w:val="FootnoteReference"/>
                <w:b/>
                <w:bCs/>
              </w:rPr>
              <w:footnoteReference w:id="22"/>
            </w:r>
            <w:r w:rsidRPr="00B37721">
              <w:t xml:space="preserve"> </w:t>
            </w:r>
            <w:r w:rsidRPr="00B37721">
              <w:rPr>
                <w:bCs/>
              </w:rPr>
              <w:t xml:space="preserve">(green if met in </w:t>
            </w:r>
            <w:r>
              <w:rPr>
                <w:bCs/>
              </w:rPr>
              <w:t>CY</w:t>
            </w:r>
            <w:r w:rsidRPr="00B37721">
              <w:rPr>
                <w:bCs/>
              </w:rPr>
              <w:t>2022)</w:t>
            </w:r>
          </w:p>
        </w:tc>
      </w:tr>
      <w:tr w:rsidR="002475D1" w:rsidRPr="00C55C70" w14:paraId="24F569B9" w14:textId="77777777" w:rsidTr="00310FEF">
        <w:trPr>
          <w:trHeight w:val="263"/>
        </w:trPr>
        <w:tc>
          <w:tcPr>
            <w:tcW w:w="6534" w:type="dxa"/>
            <w:hideMark/>
          </w:tcPr>
          <w:p w14:paraId="1200A1A9" w14:textId="77777777" w:rsidR="002475D1" w:rsidRPr="00B37721" w:rsidRDefault="002475D1" w:rsidP="003B4B6C">
            <w:pPr>
              <w:spacing w:before="120" w:after="120"/>
              <w:rPr>
                <w:color w:val="0D0D0D" w:themeColor="text2" w:themeTint="F2"/>
                <w:sz w:val="22"/>
                <w:szCs w:val="22"/>
              </w:rPr>
            </w:pPr>
            <w:r w:rsidRPr="00B37721">
              <w:rPr>
                <w:color w:val="0D0D0D" w:themeColor="text2" w:themeTint="F2"/>
                <w:sz w:val="22"/>
                <w:szCs w:val="22"/>
              </w:rPr>
              <w:t xml:space="preserve">Unintentional Medication Discrepancies </w:t>
            </w:r>
            <w:r w:rsidRPr="00B37721">
              <w:rPr>
                <w:color w:val="0D0D0D" w:themeColor="text2" w:themeTint="F2"/>
                <w:sz w:val="22"/>
                <w:szCs w:val="22"/>
                <w:vertAlign w:val="superscript"/>
              </w:rPr>
              <w:t>*</w:t>
            </w:r>
          </w:p>
        </w:tc>
        <w:tc>
          <w:tcPr>
            <w:tcW w:w="976" w:type="dxa"/>
          </w:tcPr>
          <w:p w14:paraId="3D467AF4" w14:textId="77777777" w:rsidR="002475D1" w:rsidRPr="00B37721" w:rsidRDefault="002475D1" w:rsidP="003B4B6C">
            <w:pPr>
              <w:spacing w:before="120" w:after="120"/>
              <w:jc w:val="center"/>
              <w:rPr>
                <w:sz w:val="22"/>
                <w:szCs w:val="22"/>
              </w:rPr>
            </w:pPr>
            <w:r w:rsidRPr="00B37721">
              <w:rPr>
                <w:sz w:val="22"/>
                <w:szCs w:val="22"/>
              </w:rPr>
              <w:t>CHIRP</w:t>
            </w:r>
          </w:p>
        </w:tc>
        <w:tc>
          <w:tcPr>
            <w:tcW w:w="1575" w:type="dxa"/>
          </w:tcPr>
          <w:p w14:paraId="53E7C313" w14:textId="77777777" w:rsidR="002475D1" w:rsidRPr="00B37721" w:rsidRDefault="002475D1" w:rsidP="003B4B6C">
            <w:pPr>
              <w:spacing w:before="120" w:after="120"/>
              <w:jc w:val="center"/>
              <w:rPr>
                <w:sz w:val="22"/>
                <w:szCs w:val="22"/>
              </w:rPr>
            </w:pPr>
            <w:r w:rsidRPr="00B37721">
              <w:rPr>
                <w:sz w:val="22"/>
                <w:szCs w:val="22"/>
              </w:rPr>
              <w:t>11.24%</w:t>
            </w:r>
          </w:p>
        </w:tc>
        <w:tc>
          <w:tcPr>
            <w:tcW w:w="1575" w:type="dxa"/>
            <w:shd w:val="clear" w:color="auto" w:fill="E1F2DA" w:themeFill="accent3" w:themeFillTint="33"/>
          </w:tcPr>
          <w:p w14:paraId="7D3380F9" w14:textId="77777777" w:rsidR="002475D1" w:rsidRPr="00B37721" w:rsidRDefault="002475D1" w:rsidP="003B4B6C">
            <w:pPr>
              <w:spacing w:before="120" w:after="120"/>
              <w:jc w:val="center"/>
              <w:rPr>
                <w:sz w:val="22"/>
                <w:szCs w:val="22"/>
              </w:rPr>
            </w:pPr>
            <w:r w:rsidRPr="00B37721">
              <w:rPr>
                <w:sz w:val="22"/>
                <w:szCs w:val="22"/>
              </w:rPr>
              <w:t xml:space="preserve">10.07% </w:t>
            </w:r>
            <w:r w:rsidRPr="00B37721">
              <w:rPr>
                <w:b/>
                <w:bCs/>
                <w:color w:val="00B050"/>
                <w:sz w:val="22"/>
                <w:szCs w:val="22"/>
              </w:rPr>
              <w:sym w:font="Symbol" w:char="F0AF"/>
            </w:r>
          </w:p>
        </w:tc>
        <w:tc>
          <w:tcPr>
            <w:tcW w:w="1575" w:type="dxa"/>
          </w:tcPr>
          <w:p w14:paraId="3BE7BED4" w14:textId="77777777" w:rsidR="002475D1" w:rsidRPr="00B37721" w:rsidRDefault="002475D1" w:rsidP="003B4B6C">
            <w:pPr>
              <w:spacing w:before="120" w:after="120"/>
              <w:jc w:val="center"/>
              <w:rPr>
                <w:sz w:val="22"/>
                <w:szCs w:val="22"/>
              </w:rPr>
            </w:pPr>
            <w:r w:rsidRPr="00B37721">
              <w:rPr>
                <w:sz w:val="22"/>
                <w:szCs w:val="22"/>
              </w:rPr>
              <w:t>68%</w:t>
            </w:r>
          </w:p>
        </w:tc>
        <w:tc>
          <w:tcPr>
            <w:tcW w:w="2070" w:type="dxa"/>
            <w:shd w:val="clear" w:color="auto" w:fill="E1F2DA" w:themeFill="accent3" w:themeFillTint="33"/>
          </w:tcPr>
          <w:p w14:paraId="449093EC" w14:textId="77777777" w:rsidR="002475D1" w:rsidRPr="00B37721" w:rsidRDefault="002475D1" w:rsidP="003B4B6C">
            <w:pPr>
              <w:spacing w:before="120" w:after="120"/>
              <w:jc w:val="center"/>
              <w:rPr>
                <w:sz w:val="22"/>
                <w:szCs w:val="22"/>
              </w:rPr>
            </w:pPr>
            <w:r w:rsidRPr="00B37721">
              <w:rPr>
                <w:sz w:val="22"/>
                <w:szCs w:val="22"/>
              </w:rPr>
              <w:t>10.67%</w:t>
            </w:r>
          </w:p>
        </w:tc>
      </w:tr>
      <w:tr w:rsidR="002475D1" w:rsidRPr="00C55C70" w14:paraId="2CA0D574" w14:textId="77777777" w:rsidTr="00310FEF">
        <w:trPr>
          <w:trHeight w:val="282"/>
        </w:trPr>
        <w:tc>
          <w:tcPr>
            <w:tcW w:w="6534" w:type="dxa"/>
          </w:tcPr>
          <w:p w14:paraId="61573088" w14:textId="77777777" w:rsidR="002475D1" w:rsidRPr="00B37721" w:rsidDel="00E76BC6" w:rsidRDefault="002475D1" w:rsidP="003B4B6C">
            <w:pPr>
              <w:spacing w:before="120" w:after="120"/>
              <w:rPr>
                <w:color w:val="0D0D0D" w:themeColor="text2" w:themeTint="F2"/>
                <w:sz w:val="22"/>
                <w:szCs w:val="22"/>
              </w:rPr>
            </w:pPr>
            <w:r w:rsidRPr="00B37721">
              <w:rPr>
                <w:color w:val="0D0D0D" w:themeColor="text2" w:themeTint="F2"/>
                <w:sz w:val="22"/>
                <w:szCs w:val="22"/>
              </w:rPr>
              <w:t xml:space="preserve">Severe Maternal Morbidity </w:t>
            </w:r>
            <w:r w:rsidRPr="00B37721">
              <w:rPr>
                <w:color w:val="0D0D0D" w:themeColor="text2" w:themeTint="F2"/>
                <w:sz w:val="22"/>
                <w:szCs w:val="22"/>
                <w:vertAlign w:val="superscript"/>
              </w:rPr>
              <w:t>*</w:t>
            </w:r>
          </w:p>
        </w:tc>
        <w:tc>
          <w:tcPr>
            <w:tcW w:w="976" w:type="dxa"/>
            <w:tcBorders>
              <w:right w:val="single" w:sz="4" w:space="0" w:color="auto"/>
            </w:tcBorders>
          </w:tcPr>
          <w:p w14:paraId="68EDBE20" w14:textId="77777777" w:rsidR="002475D1" w:rsidRPr="00B37721" w:rsidRDefault="002475D1" w:rsidP="003B4B6C">
            <w:pPr>
              <w:spacing w:before="120" w:after="120"/>
              <w:jc w:val="center"/>
              <w:rPr>
                <w:rFonts w:cs="Calibri"/>
                <w:color w:val="000000"/>
                <w:sz w:val="22"/>
                <w:szCs w:val="22"/>
              </w:rPr>
            </w:pPr>
            <w:r w:rsidRPr="00B37721">
              <w:rPr>
                <w:sz w:val="22"/>
                <w:szCs w:val="22"/>
              </w:rPr>
              <w:t>CHIRP</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3A3C0F9" w14:textId="77777777" w:rsidR="002475D1" w:rsidRPr="00B37721" w:rsidDel="009344C2" w:rsidRDefault="002475D1" w:rsidP="003B4B6C">
            <w:pPr>
              <w:spacing w:before="120" w:after="120"/>
              <w:jc w:val="center"/>
              <w:rPr>
                <w:sz w:val="22"/>
                <w:szCs w:val="22"/>
              </w:rPr>
            </w:pPr>
            <w:r w:rsidRPr="00B37721">
              <w:rPr>
                <w:rFonts w:cs="Calibri"/>
                <w:color w:val="000000"/>
                <w:sz w:val="22"/>
                <w:szCs w:val="22"/>
              </w:rPr>
              <w:t>2.24%</w:t>
            </w:r>
          </w:p>
        </w:tc>
        <w:tc>
          <w:tcPr>
            <w:tcW w:w="1575" w:type="dxa"/>
            <w:tcBorders>
              <w:top w:val="single" w:sz="4" w:space="0" w:color="auto"/>
              <w:left w:val="nil"/>
              <w:bottom w:val="single" w:sz="4" w:space="0" w:color="auto"/>
              <w:right w:val="single" w:sz="4" w:space="0" w:color="auto"/>
            </w:tcBorders>
            <w:shd w:val="clear" w:color="auto" w:fill="F4CCCD" w:themeFill="accent2" w:themeFillTint="33"/>
          </w:tcPr>
          <w:p w14:paraId="3C2EC0C9" w14:textId="77777777" w:rsidR="002475D1" w:rsidRPr="00B37721" w:rsidRDefault="002475D1" w:rsidP="003B4B6C">
            <w:pPr>
              <w:spacing w:before="120" w:after="120"/>
              <w:jc w:val="center"/>
              <w:rPr>
                <w:sz w:val="22"/>
                <w:szCs w:val="22"/>
              </w:rPr>
            </w:pPr>
            <w:r w:rsidRPr="00B37721">
              <w:rPr>
                <w:rFonts w:cs="Calibri"/>
                <w:color w:val="000000"/>
                <w:sz w:val="22"/>
                <w:szCs w:val="22"/>
              </w:rPr>
              <w:t xml:space="preserve">2.42% </w:t>
            </w:r>
            <w:r w:rsidRPr="00B37721">
              <w:rPr>
                <w:rFonts w:cs="Calibri"/>
                <w:b/>
                <w:bCs/>
                <w:color w:val="C00000"/>
                <w:sz w:val="22"/>
                <w:szCs w:val="22"/>
              </w:rPr>
              <w:sym w:font="Symbol" w:char="F0AD"/>
            </w:r>
          </w:p>
        </w:tc>
        <w:tc>
          <w:tcPr>
            <w:tcW w:w="1575" w:type="dxa"/>
          </w:tcPr>
          <w:p w14:paraId="68A6BEED" w14:textId="77777777" w:rsidR="002475D1" w:rsidRPr="00B37721" w:rsidDel="009344C2" w:rsidRDefault="002475D1" w:rsidP="003B4B6C">
            <w:pPr>
              <w:spacing w:before="120" w:after="120"/>
              <w:jc w:val="center"/>
              <w:rPr>
                <w:sz w:val="22"/>
                <w:szCs w:val="22"/>
              </w:rPr>
            </w:pPr>
            <w:r w:rsidRPr="00B37721">
              <w:rPr>
                <w:sz w:val="22"/>
                <w:szCs w:val="22"/>
              </w:rPr>
              <w:t>55%</w:t>
            </w:r>
          </w:p>
        </w:tc>
        <w:tc>
          <w:tcPr>
            <w:tcW w:w="2070" w:type="dxa"/>
            <w:shd w:val="clear" w:color="auto" w:fill="auto"/>
          </w:tcPr>
          <w:p w14:paraId="5FF7771E" w14:textId="77777777" w:rsidR="002475D1" w:rsidRPr="00B37721" w:rsidRDefault="002475D1" w:rsidP="003B4B6C">
            <w:pPr>
              <w:spacing w:before="120" w:after="120"/>
              <w:jc w:val="center"/>
              <w:rPr>
                <w:sz w:val="22"/>
                <w:szCs w:val="22"/>
              </w:rPr>
            </w:pPr>
            <w:r w:rsidRPr="00B37721">
              <w:rPr>
                <w:sz w:val="22"/>
                <w:szCs w:val="22"/>
              </w:rPr>
              <w:t>1.88%</w:t>
            </w:r>
          </w:p>
        </w:tc>
      </w:tr>
      <w:tr w:rsidR="002475D1" w:rsidRPr="00C55C70" w14:paraId="7746A3AB" w14:textId="77777777" w:rsidTr="00310FEF">
        <w:trPr>
          <w:trHeight w:val="282"/>
        </w:trPr>
        <w:tc>
          <w:tcPr>
            <w:tcW w:w="6534" w:type="dxa"/>
          </w:tcPr>
          <w:p w14:paraId="5A541852" w14:textId="77777777" w:rsidR="002475D1" w:rsidRPr="00B37721" w:rsidRDefault="002475D1" w:rsidP="003B4B6C">
            <w:pPr>
              <w:spacing w:before="120" w:after="120"/>
              <w:rPr>
                <w:color w:val="0D0D0D" w:themeColor="text2" w:themeTint="F2"/>
                <w:sz w:val="22"/>
                <w:szCs w:val="22"/>
              </w:rPr>
            </w:pPr>
            <w:r w:rsidRPr="00B37721">
              <w:rPr>
                <w:color w:val="0D0D0D" w:themeColor="text2" w:themeTint="F2"/>
                <w:sz w:val="22"/>
                <w:szCs w:val="22"/>
              </w:rPr>
              <w:t xml:space="preserve">PC-02 Cesarean Section </w:t>
            </w:r>
            <w:r w:rsidRPr="00B37721">
              <w:rPr>
                <w:color w:val="0D0D0D" w:themeColor="text2" w:themeTint="F2"/>
                <w:sz w:val="22"/>
                <w:szCs w:val="22"/>
                <w:vertAlign w:val="superscript"/>
              </w:rPr>
              <w:t>*</w:t>
            </w:r>
          </w:p>
        </w:tc>
        <w:tc>
          <w:tcPr>
            <w:tcW w:w="976" w:type="dxa"/>
            <w:tcBorders>
              <w:right w:val="single" w:sz="4" w:space="0" w:color="auto"/>
            </w:tcBorders>
          </w:tcPr>
          <w:p w14:paraId="6735E332" w14:textId="77777777" w:rsidR="002475D1" w:rsidRPr="00B37721" w:rsidRDefault="002475D1" w:rsidP="003B4B6C">
            <w:pPr>
              <w:spacing w:before="120" w:after="120"/>
              <w:jc w:val="center"/>
              <w:rPr>
                <w:rFonts w:cs="Calibri"/>
                <w:color w:val="000000"/>
                <w:sz w:val="22"/>
                <w:szCs w:val="22"/>
              </w:rPr>
            </w:pPr>
            <w:r w:rsidRPr="00B37721">
              <w:rPr>
                <w:sz w:val="22"/>
                <w:szCs w:val="22"/>
              </w:rPr>
              <w:t>CHIRP</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959D41A" w14:textId="77777777" w:rsidR="002475D1" w:rsidRPr="00B37721" w:rsidDel="009344C2" w:rsidRDefault="002475D1" w:rsidP="003B4B6C">
            <w:pPr>
              <w:spacing w:before="120" w:after="120"/>
              <w:jc w:val="center"/>
              <w:rPr>
                <w:sz w:val="22"/>
                <w:szCs w:val="22"/>
              </w:rPr>
            </w:pPr>
            <w:r w:rsidRPr="00B37721">
              <w:rPr>
                <w:rFonts w:cs="Calibri"/>
                <w:color w:val="000000"/>
                <w:sz w:val="22"/>
                <w:szCs w:val="22"/>
              </w:rPr>
              <w:t>23.58%</w:t>
            </w:r>
          </w:p>
        </w:tc>
        <w:tc>
          <w:tcPr>
            <w:tcW w:w="1575" w:type="dxa"/>
            <w:tcBorders>
              <w:top w:val="single" w:sz="4" w:space="0" w:color="auto"/>
              <w:left w:val="nil"/>
              <w:bottom w:val="single" w:sz="4" w:space="0" w:color="auto"/>
              <w:right w:val="single" w:sz="4" w:space="0" w:color="auto"/>
            </w:tcBorders>
            <w:shd w:val="clear" w:color="auto" w:fill="F4CCCD" w:themeFill="accent2" w:themeFillTint="33"/>
          </w:tcPr>
          <w:p w14:paraId="262AA23E" w14:textId="77777777" w:rsidR="002475D1" w:rsidRPr="00B37721" w:rsidRDefault="002475D1" w:rsidP="003B4B6C">
            <w:pPr>
              <w:spacing w:before="120" w:after="120"/>
              <w:jc w:val="center"/>
              <w:rPr>
                <w:sz w:val="22"/>
                <w:szCs w:val="22"/>
              </w:rPr>
            </w:pPr>
            <w:r w:rsidRPr="00B37721">
              <w:rPr>
                <w:rFonts w:cs="Calibri"/>
                <w:color w:val="000000"/>
                <w:sz w:val="22"/>
                <w:szCs w:val="22"/>
              </w:rPr>
              <w:t xml:space="preserve">25.77% </w:t>
            </w:r>
            <w:r w:rsidRPr="00B37721">
              <w:rPr>
                <w:rFonts w:cs="Calibri"/>
                <w:b/>
                <w:bCs/>
                <w:color w:val="C00000"/>
                <w:sz w:val="22"/>
                <w:szCs w:val="22"/>
              </w:rPr>
              <w:sym w:font="Symbol" w:char="F0AD"/>
            </w:r>
          </w:p>
        </w:tc>
        <w:tc>
          <w:tcPr>
            <w:tcW w:w="1575" w:type="dxa"/>
          </w:tcPr>
          <w:p w14:paraId="4C9EF239" w14:textId="77777777" w:rsidR="002475D1" w:rsidRPr="00B37721" w:rsidDel="009344C2" w:rsidRDefault="002475D1" w:rsidP="003B4B6C">
            <w:pPr>
              <w:spacing w:before="120" w:after="120"/>
              <w:jc w:val="center"/>
              <w:rPr>
                <w:sz w:val="22"/>
                <w:szCs w:val="22"/>
              </w:rPr>
            </w:pPr>
            <w:r w:rsidRPr="00B37721">
              <w:rPr>
                <w:sz w:val="22"/>
                <w:szCs w:val="22"/>
              </w:rPr>
              <w:t>51%</w:t>
            </w:r>
          </w:p>
        </w:tc>
        <w:tc>
          <w:tcPr>
            <w:tcW w:w="2070" w:type="dxa"/>
            <w:shd w:val="clear" w:color="auto" w:fill="auto"/>
          </w:tcPr>
          <w:p w14:paraId="08BF5C69" w14:textId="77777777" w:rsidR="002475D1" w:rsidRPr="00B37721" w:rsidRDefault="002475D1" w:rsidP="003B4B6C">
            <w:pPr>
              <w:spacing w:before="120" w:after="120"/>
              <w:jc w:val="center"/>
              <w:rPr>
                <w:sz w:val="22"/>
                <w:szCs w:val="22"/>
              </w:rPr>
            </w:pPr>
            <w:r w:rsidRPr="00B37721">
              <w:rPr>
                <w:sz w:val="22"/>
                <w:szCs w:val="22"/>
              </w:rPr>
              <w:t>21.71%</w:t>
            </w:r>
          </w:p>
        </w:tc>
      </w:tr>
      <w:tr w:rsidR="002475D1" w:rsidRPr="00C55C70" w14:paraId="4DA1FFD7" w14:textId="77777777" w:rsidTr="00310FEF">
        <w:trPr>
          <w:trHeight w:val="134"/>
        </w:trPr>
        <w:tc>
          <w:tcPr>
            <w:tcW w:w="6534" w:type="dxa"/>
          </w:tcPr>
          <w:p w14:paraId="785D1A91" w14:textId="77777777" w:rsidR="002475D1" w:rsidRPr="00B37721" w:rsidRDefault="002475D1" w:rsidP="003B4B6C">
            <w:pPr>
              <w:spacing w:before="120" w:after="120"/>
              <w:rPr>
                <w:color w:val="0D0D0D" w:themeColor="text2" w:themeTint="F2"/>
                <w:sz w:val="22"/>
                <w:szCs w:val="22"/>
              </w:rPr>
            </w:pPr>
            <w:r w:rsidRPr="00B37721">
              <w:rPr>
                <w:color w:val="0D0D0D" w:themeColor="text2" w:themeTint="F2"/>
                <w:sz w:val="22"/>
                <w:szCs w:val="22"/>
              </w:rPr>
              <w:t xml:space="preserve">Catheter-Associated Urinary Tract Infection (CAUTI) </w:t>
            </w:r>
            <w:r w:rsidRPr="00B37721">
              <w:rPr>
                <w:color w:val="0D0D0D" w:themeColor="text2" w:themeTint="F2"/>
                <w:sz w:val="22"/>
                <w:szCs w:val="22"/>
                <w:vertAlign w:val="superscript"/>
              </w:rPr>
              <w:t>*</w:t>
            </w:r>
          </w:p>
        </w:tc>
        <w:tc>
          <w:tcPr>
            <w:tcW w:w="976" w:type="dxa"/>
            <w:tcBorders>
              <w:right w:val="single" w:sz="4" w:space="0" w:color="auto"/>
            </w:tcBorders>
          </w:tcPr>
          <w:p w14:paraId="26D119D9" w14:textId="77777777" w:rsidR="002475D1" w:rsidRPr="00B37721" w:rsidRDefault="002475D1" w:rsidP="003B4B6C">
            <w:pPr>
              <w:spacing w:before="120" w:after="120"/>
              <w:jc w:val="center"/>
              <w:rPr>
                <w:rFonts w:cs="Calibri"/>
                <w:color w:val="000000"/>
                <w:sz w:val="22"/>
                <w:szCs w:val="22"/>
              </w:rPr>
            </w:pPr>
            <w:r w:rsidRPr="00B37721">
              <w:rPr>
                <w:sz w:val="22"/>
                <w:szCs w:val="22"/>
              </w:rPr>
              <w:t>CHIRP</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ED96656" w14:textId="77777777" w:rsidR="002475D1" w:rsidRPr="00B37721" w:rsidDel="009344C2" w:rsidRDefault="002475D1" w:rsidP="003B4B6C">
            <w:pPr>
              <w:spacing w:before="120" w:after="120"/>
              <w:jc w:val="center"/>
              <w:rPr>
                <w:sz w:val="22"/>
                <w:szCs w:val="22"/>
              </w:rPr>
            </w:pPr>
            <w:r w:rsidRPr="00B37721">
              <w:rPr>
                <w:rFonts w:cs="Calibri"/>
                <w:color w:val="000000"/>
                <w:sz w:val="22"/>
                <w:szCs w:val="22"/>
              </w:rPr>
              <w:t>0.5939</w:t>
            </w:r>
          </w:p>
        </w:tc>
        <w:tc>
          <w:tcPr>
            <w:tcW w:w="1575" w:type="dxa"/>
            <w:tcBorders>
              <w:top w:val="single" w:sz="4" w:space="0" w:color="auto"/>
              <w:left w:val="nil"/>
              <w:bottom w:val="single" w:sz="4" w:space="0" w:color="auto"/>
              <w:right w:val="single" w:sz="4" w:space="0" w:color="auto"/>
            </w:tcBorders>
            <w:shd w:val="clear" w:color="auto" w:fill="E1F2DA" w:themeFill="accent3" w:themeFillTint="33"/>
          </w:tcPr>
          <w:p w14:paraId="3537B62D" w14:textId="77777777" w:rsidR="002475D1" w:rsidRPr="00B37721" w:rsidRDefault="002475D1" w:rsidP="003B4B6C">
            <w:pPr>
              <w:spacing w:before="120" w:after="120"/>
              <w:jc w:val="center"/>
              <w:rPr>
                <w:sz w:val="22"/>
                <w:szCs w:val="22"/>
              </w:rPr>
            </w:pPr>
            <w:r w:rsidRPr="00B37721">
              <w:rPr>
                <w:sz w:val="22"/>
                <w:szCs w:val="22"/>
              </w:rPr>
              <w:t xml:space="preserve">0.4276 </w:t>
            </w:r>
            <w:r w:rsidRPr="00B37721">
              <w:rPr>
                <w:b/>
                <w:bCs/>
                <w:color w:val="00B050"/>
                <w:sz w:val="22"/>
                <w:szCs w:val="22"/>
              </w:rPr>
              <w:sym w:font="Symbol" w:char="F0AF"/>
            </w:r>
          </w:p>
        </w:tc>
        <w:tc>
          <w:tcPr>
            <w:tcW w:w="1575" w:type="dxa"/>
          </w:tcPr>
          <w:p w14:paraId="3554BA62" w14:textId="77777777" w:rsidR="002475D1" w:rsidRPr="00B37721" w:rsidDel="009344C2" w:rsidRDefault="002475D1" w:rsidP="003B4B6C">
            <w:pPr>
              <w:spacing w:before="120" w:after="120"/>
              <w:jc w:val="center"/>
              <w:rPr>
                <w:sz w:val="22"/>
                <w:szCs w:val="22"/>
              </w:rPr>
            </w:pPr>
            <w:r w:rsidRPr="00B37721">
              <w:rPr>
                <w:sz w:val="22"/>
                <w:szCs w:val="22"/>
              </w:rPr>
              <w:t>73%</w:t>
            </w:r>
          </w:p>
        </w:tc>
        <w:tc>
          <w:tcPr>
            <w:tcW w:w="2070" w:type="dxa"/>
            <w:shd w:val="clear" w:color="auto" w:fill="E1F2DA" w:themeFill="accent3" w:themeFillTint="33"/>
          </w:tcPr>
          <w:p w14:paraId="0E7F19DF" w14:textId="77777777" w:rsidR="002475D1" w:rsidRPr="00B37721" w:rsidRDefault="002475D1" w:rsidP="003B4B6C">
            <w:pPr>
              <w:spacing w:before="120" w:after="120"/>
              <w:jc w:val="center"/>
              <w:rPr>
                <w:sz w:val="22"/>
                <w:szCs w:val="22"/>
              </w:rPr>
            </w:pPr>
            <w:r w:rsidRPr="00B37721">
              <w:rPr>
                <w:sz w:val="22"/>
                <w:szCs w:val="22"/>
              </w:rPr>
              <w:t>0.5642</w:t>
            </w:r>
          </w:p>
        </w:tc>
      </w:tr>
      <w:tr w:rsidR="002475D1" w:rsidRPr="00C55C70" w14:paraId="4CCD6917" w14:textId="77777777" w:rsidTr="00310FEF">
        <w:trPr>
          <w:trHeight w:val="282"/>
        </w:trPr>
        <w:tc>
          <w:tcPr>
            <w:tcW w:w="6534" w:type="dxa"/>
            <w:hideMark/>
          </w:tcPr>
          <w:p w14:paraId="316BD5E5" w14:textId="22ACD9E3" w:rsidR="002475D1" w:rsidRPr="00B37721" w:rsidRDefault="002475D1" w:rsidP="003B4B6C">
            <w:pPr>
              <w:spacing w:before="120" w:after="120"/>
              <w:rPr>
                <w:color w:val="0D0D0D" w:themeColor="text2" w:themeTint="F2"/>
                <w:sz w:val="22"/>
                <w:szCs w:val="22"/>
              </w:rPr>
            </w:pPr>
            <w:r w:rsidRPr="00B37721">
              <w:rPr>
                <w:color w:val="0D0D0D" w:themeColor="text2" w:themeTint="F2"/>
                <w:sz w:val="22"/>
                <w:szCs w:val="22"/>
              </w:rPr>
              <w:t xml:space="preserve">Central Line Associated Bloodstream Infection (CLABSI) </w:t>
            </w:r>
          </w:p>
        </w:tc>
        <w:tc>
          <w:tcPr>
            <w:tcW w:w="976" w:type="dxa"/>
            <w:tcBorders>
              <w:right w:val="single" w:sz="4" w:space="0" w:color="auto"/>
            </w:tcBorders>
          </w:tcPr>
          <w:p w14:paraId="10F9788D" w14:textId="77777777" w:rsidR="002475D1" w:rsidRPr="00B37721" w:rsidRDefault="002475D1" w:rsidP="003B4B6C">
            <w:pPr>
              <w:spacing w:before="120" w:after="120"/>
              <w:jc w:val="center"/>
              <w:rPr>
                <w:rFonts w:cs="Calibri"/>
                <w:color w:val="000000"/>
                <w:sz w:val="22"/>
                <w:szCs w:val="22"/>
              </w:rPr>
            </w:pPr>
            <w:r w:rsidRPr="00B37721">
              <w:rPr>
                <w:sz w:val="22"/>
                <w:szCs w:val="22"/>
              </w:rPr>
              <w:t>CHIRP</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D928234" w14:textId="77777777" w:rsidR="002475D1" w:rsidRPr="00B37721" w:rsidRDefault="002475D1" w:rsidP="003B4B6C">
            <w:pPr>
              <w:spacing w:before="120" w:after="120"/>
              <w:jc w:val="center"/>
              <w:rPr>
                <w:sz w:val="22"/>
                <w:szCs w:val="22"/>
              </w:rPr>
            </w:pPr>
            <w:r w:rsidRPr="00B37721">
              <w:rPr>
                <w:rFonts w:cs="Calibri"/>
                <w:color w:val="000000"/>
                <w:sz w:val="22"/>
                <w:szCs w:val="22"/>
              </w:rPr>
              <w:t>0.8663</w:t>
            </w:r>
          </w:p>
        </w:tc>
        <w:tc>
          <w:tcPr>
            <w:tcW w:w="1575" w:type="dxa"/>
            <w:tcBorders>
              <w:top w:val="single" w:sz="4" w:space="0" w:color="auto"/>
              <w:left w:val="nil"/>
              <w:bottom w:val="single" w:sz="4" w:space="0" w:color="auto"/>
              <w:right w:val="single" w:sz="4" w:space="0" w:color="auto"/>
            </w:tcBorders>
            <w:shd w:val="clear" w:color="auto" w:fill="E1F2DA" w:themeFill="accent3" w:themeFillTint="33"/>
          </w:tcPr>
          <w:p w14:paraId="0899DB96" w14:textId="77777777" w:rsidR="002475D1" w:rsidRPr="00B37721" w:rsidRDefault="002475D1" w:rsidP="003B4B6C">
            <w:pPr>
              <w:spacing w:before="120" w:after="120"/>
              <w:jc w:val="center"/>
              <w:rPr>
                <w:sz w:val="22"/>
                <w:szCs w:val="22"/>
              </w:rPr>
            </w:pPr>
            <w:r w:rsidRPr="00B37721">
              <w:rPr>
                <w:rFonts w:cs="Calibri"/>
                <w:color w:val="000000"/>
                <w:sz w:val="22"/>
                <w:szCs w:val="22"/>
              </w:rPr>
              <w:t xml:space="preserve">0.5898 </w:t>
            </w:r>
            <w:r w:rsidRPr="00B37721">
              <w:rPr>
                <w:b/>
                <w:bCs/>
                <w:color w:val="00B050"/>
                <w:sz w:val="22"/>
                <w:szCs w:val="22"/>
              </w:rPr>
              <w:sym w:font="Symbol" w:char="F0AF"/>
            </w:r>
          </w:p>
        </w:tc>
        <w:tc>
          <w:tcPr>
            <w:tcW w:w="1575" w:type="dxa"/>
          </w:tcPr>
          <w:p w14:paraId="1189C30A" w14:textId="77777777" w:rsidR="002475D1" w:rsidRPr="00B37721" w:rsidRDefault="002475D1" w:rsidP="003B4B6C">
            <w:pPr>
              <w:spacing w:before="120" w:after="120"/>
              <w:jc w:val="center"/>
              <w:rPr>
                <w:sz w:val="22"/>
                <w:szCs w:val="22"/>
              </w:rPr>
            </w:pPr>
            <w:r w:rsidRPr="00B37721">
              <w:rPr>
                <w:sz w:val="22"/>
                <w:szCs w:val="22"/>
              </w:rPr>
              <w:t>77%</w:t>
            </w:r>
          </w:p>
        </w:tc>
        <w:tc>
          <w:tcPr>
            <w:tcW w:w="2070" w:type="dxa"/>
            <w:shd w:val="clear" w:color="auto" w:fill="E1F2DA" w:themeFill="accent3" w:themeFillTint="33"/>
          </w:tcPr>
          <w:p w14:paraId="6D0C1D4A" w14:textId="77777777" w:rsidR="002475D1" w:rsidRPr="00B37721" w:rsidRDefault="002475D1" w:rsidP="003B4B6C">
            <w:pPr>
              <w:spacing w:before="120" w:after="120"/>
              <w:jc w:val="center"/>
              <w:rPr>
                <w:sz w:val="22"/>
                <w:szCs w:val="22"/>
              </w:rPr>
            </w:pPr>
            <w:r w:rsidRPr="00B37721">
              <w:rPr>
                <w:sz w:val="22"/>
                <w:szCs w:val="22"/>
              </w:rPr>
              <w:t>0.8230</w:t>
            </w:r>
          </w:p>
        </w:tc>
      </w:tr>
      <w:tr w:rsidR="002475D1" w:rsidRPr="00C55C70" w14:paraId="25BAF94D" w14:textId="77777777" w:rsidTr="007C3788">
        <w:trPr>
          <w:trHeight w:val="263"/>
        </w:trPr>
        <w:tc>
          <w:tcPr>
            <w:tcW w:w="6534" w:type="dxa"/>
            <w:hideMark/>
          </w:tcPr>
          <w:p w14:paraId="350D0D05" w14:textId="77777777" w:rsidR="002475D1" w:rsidRPr="00B37721" w:rsidRDefault="002475D1" w:rsidP="003B4B6C">
            <w:pPr>
              <w:spacing w:before="120" w:after="120"/>
              <w:rPr>
                <w:color w:val="0D0D0D" w:themeColor="text2" w:themeTint="F2"/>
                <w:sz w:val="22"/>
                <w:szCs w:val="22"/>
              </w:rPr>
            </w:pPr>
            <w:r w:rsidRPr="00B37721">
              <w:rPr>
                <w:color w:val="0D0D0D" w:themeColor="text2" w:themeTint="F2"/>
                <w:sz w:val="22"/>
                <w:szCs w:val="22"/>
              </w:rPr>
              <w:t xml:space="preserve">Pediatric CLABSI per 1000 </w:t>
            </w:r>
            <w:r w:rsidRPr="00B37721">
              <w:rPr>
                <w:color w:val="0D0D0D" w:themeColor="text2" w:themeTint="F2"/>
                <w:sz w:val="22"/>
                <w:szCs w:val="22"/>
                <w:vertAlign w:val="superscript"/>
              </w:rPr>
              <w:t>*</w:t>
            </w:r>
          </w:p>
        </w:tc>
        <w:tc>
          <w:tcPr>
            <w:tcW w:w="976" w:type="dxa"/>
          </w:tcPr>
          <w:p w14:paraId="50B941CC" w14:textId="77777777" w:rsidR="002475D1" w:rsidRPr="00B37721" w:rsidRDefault="002475D1" w:rsidP="003B4B6C">
            <w:pPr>
              <w:spacing w:before="120" w:after="120"/>
              <w:jc w:val="center"/>
              <w:rPr>
                <w:sz w:val="22"/>
                <w:szCs w:val="22"/>
              </w:rPr>
            </w:pPr>
            <w:r w:rsidRPr="00B37721">
              <w:rPr>
                <w:sz w:val="22"/>
                <w:szCs w:val="22"/>
              </w:rPr>
              <w:t>CHIRP</w:t>
            </w:r>
          </w:p>
        </w:tc>
        <w:tc>
          <w:tcPr>
            <w:tcW w:w="1575" w:type="dxa"/>
          </w:tcPr>
          <w:p w14:paraId="6E1E05CD" w14:textId="77777777" w:rsidR="002475D1" w:rsidRPr="00B37721" w:rsidRDefault="002475D1" w:rsidP="003B4B6C">
            <w:pPr>
              <w:spacing w:before="120" w:after="120"/>
              <w:jc w:val="center"/>
              <w:rPr>
                <w:sz w:val="22"/>
                <w:szCs w:val="22"/>
              </w:rPr>
            </w:pPr>
            <w:r w:rsidRPr="00B37721">
              <w:rPr>
                <w:sz w:val="22"/>
                <w:szCs w:val="22"/>
              </w:rPr>
              <w:t>0.1300</w:t>
            </w:r>
          </w:p>
        </w:tc>
        <w:tc>
          <w:tcPr>
            <w:tcW w:w="1575" w:type="dxa"/>
            <w:shd w:val="clear" w:color="auto" w:fill="E1F2DA" w:themeFill="accent3" w:themeFillTint="33"/>
          </w:tcPr>
          <w:p w14:paraId="10D16962" w14:textId="77777777" w:rsidR="002475D1" w:rsidRPr="00B37721" w:rsidRDefault="002475D1" w:rsidP="003B4B6C">
            <w:pPr>
              <w:spacing w:before="120" w:after="120"/>
              <w:jc w:val="center"/>
              <w:rPr>
                <w:sz w:val="22"/>
                <w:szCs w:val="22"/>
              </w:rPr>
            </w:pPr>
            <w:r w:rsidRPr="00B37721">
              <w:rPr>
                <w:sz w:val="22"/>
                <w:szCs w:val="22"/>
              </w:rPr>
              <w:t xml:space="preserve">0.1200 </w:t>
            </w:r>
            <w:r w:rsidRPr="00B37721">
              <w:rPr>
                <w:b/>
                <w:bCs/>
                <w:color w:val="00B050"/>
                <w:sz w:val="22"/>
                <w:szCs w:val="22"/>
              </w:rPr>
              <w:sym w:font="Symbol" w:char="F0AF"/>
            </w:r>
          </w:p>
        </w:tc>
        <w:tc>
          <w:tcPr>
            <w:tcW w:w="1575" w:type="dxa"/>
          </w:tcPr>
          <w:p w14:paraId="4CC49B42" w14:textId="77777777" w:rsidR="002475D1" w:rsidRPr="00B37721" w:rsidRDefault="002475D1" w:rsidP="003B4B6C">
            <w:pPr>
              <w:spacing w:before="120" w:after="120"/>
              <w:jc w:val="center"/>
              <w:rPr>
                <w:sz w:val="22"/>
                <w:szCs w:val="22"/>
              </w:rPr>
            </w:pPr>
            <w:r w:rsidRPr="00B37721">
              <w:rPr>
                <w:sz w:val="22"/>
                <w:szCs w:val="22"/>
              </w:rPr>
              <w:t>50%</w:t>
            </w:r>
          </w:p>
        </w:tc>
        <w:tc>
          <w:tcPr>
            <w:tcW w:w="2070" w:type="dxa"/>
            <w:shd w:val="clear" w:color="auto" w:fill="E1F2DA" w:themeFill="accent3" w:themeFillTint="33"/>
          </w:tcPr>
          <w:p w14:paraId="2D8517D5" w14:textId="1DB14D1A" w:rsidR="002475D1" w:rsidRPr="00B37721" w:rsidRDefault="002475D1" w:rsidP="003B4B6C">
            <w:pPr>
              <w:spacing w:before="120" w:after="120"/>
              <w:jc w:val="center"/>
              <w:rPr>
                <w:sz w:val="22"/>
                <w:szCs w:val="22"/>
              </w:rPr>
            </w:pPr>
            <w:r w:rsidRPr="00B37721">
              <w:rPr>
                <w:sz w:val="22"/>
                <w:szCs w:val="22"/>
              </w:rPr>
              <w:t>0.12</w:t>
            </w:r>
            <w:r w:rsidR="00310FEF">
              <w:rPr>
                <w:sz w:val="22"/>
                <w:szCs w:val="22"/>
              </w:rPr>
              <w:t>00</w:t>
            </w:r>
          </w:p>
        </w:tc>
      </w:tr>
      <w:tr w:rsidR="002475D1" w:rsidRPr="00C55C70" w14:paraId="2C8EA66C" w14:textId="77777777" w:rsidTr="00310FEF">
        <w:trPr>
          <w:trHeight w:val="282"/>
        </w:trPr>
        <w:tc>
          <w:tcPr>
            <w:tcW w:w="6534" w:type="dxa"/>
            <w:hideMark/>
          </w:tcPr>
          <w:p w14:paraId="451FB7E6" w14:textId="77777777" w:rsidR="002475D1" w:rsidRPr="00B37721" w:rsidRDefault="002475D1" w:rsidP="003B4B6C">
            <w:pPr>
              <w:spacing w:before="120" w:after="120"/>
              <w:rPr>
                <w:color w:val="0D0D0D" w:themeColor="text2" w:themeTint="F2"/>
                <w:sz w:val="22"/>
                <w:szCs w:val="22"/>
              </w:rPr>
            </w:pPr>
            <w:r w:rsidRPr="00B37721">
              <w:rPr>
                <w:color w:val="0D0D0D" w:themeColor="text2" w:themeTint="F2"/>
                <w:sz w:val="22"/>
                <w:szCs w:val="22"/>
              </w:rPr>
              <w:t xml:space="preserve">Pediatric CAUTI per 1000 </w:t>
            </w:r>
            <w:r w:rsidRPr="00B37721">
              <w:rPr>
                <w:color w:val="0D0D0D" w:themeColor="text2" w:themeTint="F2"/>
                <w:sz w:val="22"/>
                <w:szCs w:val="22"/>
                <w:vertAlign w:val="superscript"/>
              </w:rPr>
              <w:t>*</w:t>
            </w:r>
          </w:p>
        </w:tc>
        <w:tc>
          <w:tcPr>
            <w:tcW w:w="976" w:type="dxa"/>
          </w:tcPr>
          <w:p w14:paraId="6CDED17D" w14:textId="77777777" w:rsidR="002475D1" w:rsidRPr="00B37721" w:rsidRDefault="002475D1" w:rsidP="003B4B6C">
            <w:pPr>
              <w:spacing w:before="120" w:after="120"/>
              <w:jc w:val="center"/>
              <w:rPr>
                <w:sz w:val="22"/>
                <w:szCs w:val="22"/>
              </w:rPr>
            </w:pPr>
            <w:r w:rsidRPr="00B37721">
              <w:rPr>
                <w:sz w:val="22"/>
                <w:szCs w:val="22"/>
              </w:rPr>
              <w:t>CHIRP</w:t>
            </w:r>
          </w:p>
        </w:tc>
        <w:tc>
          <w:tcPr>
            <w:tcW w:w="1575" w:type="dxa"/>
          </w:tcPr>
          <w:p w14:paraId="3B178792" w14:textId="77777777" w:rsidR="002475D1" w:rsidRPr="00B37721" w:rsidRDefault="002475D1" w:rsidP="003B4B6C">
            <w:pPr>
              <w:spacing w:before="120" w:after="120"/>
              <w:jc w:val="center"/>
              <w:rPr>
                <w:sz w:val="22"/>
                <w:szCs w:val="22"/>
              </w:rPr>
            </w:pPr>
            <w:r w:rsidRPr="00B37721">
              <w:rPr>
                <w:sz w:val="22"/>
                <w:szCs w:val="22"/>
              </w:rPr>
              <w:t>0.0000</w:t>
            </w:r>
          </w:p>
        </w:tc>
        <w:tc>
          <w:tcPr>
            <w:tcW w:w="1575" w:type="dxa"/>
            <w:shd w:val="clear" w:color="auto" w:fill="F4CCCD" w:themeFill="accent2" w:themeFillTint="33"/>
          </w:tcPr>
          <w:p w14:paraId="10B8B9E5" w14:textId="77777777" w:rsidR="002475D1" w:rsidRPr="00B37721" w:rsidRDefault="002475D1" w:rsidP="003B4B6C">
            <w:pPr>
              <w:spacing w:before="120" w:after="120"/>
              <w:jc w:val="center"/>
              <w:rPr>
                <w:sz w:val="22"/>
                <w:szCs w:val="22"/>
              </w:rPr>
            </w:pPr>
            <w:r w:rsidRPr="00B37721">
              <w:rPr>
                <w:sz w:val="22"/>
                <w:szCs w:val="22"/>
              </w:rPr>
              <w:t xml:space="preserve">0.0500 </w:t>
            </w:r>
            <w:r w:rsidRPr="00B37721">
              <w:rPr>
                <w:rFonts w:cs="Calibri"/>
                <w:b/>
                <w:bCs/>
                <w:color w:val="C00000"/>
                <w:sz w:val="22"/>
                <w:szCs w:val="22"/>
              </w:rPr>
              <w:sym w:font="Symbol" w:char="F0AD"/>
            </w:r>
          </w:p>
        </w:tc>
        <w:tc>
          <w:tcPr>
            <w:tcW w:w="1575" w:type="dxa"/>
          </w:tcPr>
          <w:p w14:paraId="19C02F1B" w14:textId="77777777" w:rsidR="002475D1" w:rsidRPr="00B37721" w:rsidRDefault="002475D1" w:rsidP="003B4B6C">
            <w:pPr>
              <w:spacing w:before="120" w:after="120"/>
              <w:jc w:val="center"/>
              <w:rPr>
                <w:sz w:val="22"/>
                <w:szCs w:val="22"/>
              </w:rPr>
            </w:pPr>
            <w:r w:rsidRPr="00B37721">
              <w:rPr>
                <w:sz w:val="22"/>
                <w:szCs w:val="22"/>
              </w:rPr>
              <w:t>70%</w:t>
            </w:r>
          </w:p>
        </w:tc>
        <w:tc>
          <w:tcPr>
            <w:tcW w:w="2070" w:type="dxa"/>
            <w:shd w:val="clear" w:color="auto" w:fill="auto"/>
          </w:tcPr>
          <w:p w14:paraId="7CDBD906" w14:textId="77777777" w:rsidR="002475D1" w:rsidRPr="00B37721" w:rsidRDefault="002475D1" w:rsidP="003B4B6C">
            <w:pPr>
              <w:spacing w:before="120" w:after="120"/>
              <w:jc w:val="center"/>
              <w:rPr>
                <w:sz w:val="22"/>
                <w:szCs w:val="22"/>
              </w:rPr>
            </w:pPr>
            <w:r w:rsidRPr="00B37721">
              <w:rPr>
                <w:sz w:val="22"/>
                <w:szCs w:val="22"/>
              </w:rPr>
              <w:t>0.0000</w:t>
            </w:r>
          </w:p>
        </w:tc>
      </w:tr>
    </w:tbl>
    <w:p w14:paraId="227CC33D" w14:textId="77777777" w:rsidR="002475D1" w:rsidRDefault="002475D1" w:rsidP="003B09DD">
      <w:pPr>
        <w:pStyle w:val="BodyText"/>
        <w:rPr>
          <w:rFonts w:asciiTheme="majorHAnsi" w:eastAsiaTheme="majorEastAsia" w:hAnsiTheme="majorHAnsi" w:cstheme="majorBidi"/>
          <w:color w:val="0070C0"/>
        </w:rPr>
      </w:pPr>
      <w:bookmarkStart w:id="522" w:name="_Toc155105214"/>
      <w:r>
        <w:br w:type="page"/>
      </w:r>
    </w:p>
    <w:p w14:paraId="19F20380" w14:textId="1B483F9A" w:rsidR="002475D1" w:rsidRDefault="002475D1" w:rsidP="002475D1">
      <w:pPr>
        <w:pStyle w:val="Heading2"/>
        <w:rPr>
          <w:sz w:val="28"/>
          <w:szCs w:val="28"/>
        </w:rPr>
      </w:pPr>
      <w:bookmarkStart w:id="523" w:name="_Toc156487102"/>
      <w:bookmarkStart w:id="524" w:name="_Toc157413989"/>
      <w:r w:rsidRPr="00D66E3A">
        <w:rPr>
          <w:sz w:val="28"/>
          <w:szCs w:val="28"/>
        </w:rPr>
        <w:lastRenderedPageBreak/>
        <w:t xml:space="preserve">Table </w:t>
      </w:r>
      <w:r>
        <w:rPr>
          <w:sz w:val="28"/>
          <w:szCs w:val="28"/>
        </w:rPr>
        <w:t>3:</w:t>
      </w:r>
      <w:r w:rsidRPr="00D66E3A">
        <w:rPr>
          <w:sz w:val="28"/>
          <w:szCs w:val="28"/>
        </w:rPr>
        <w:t xml:space="preserve"> </w:t>
      </w:r>
      <w:r w:rsidRPr="002475D1">
        <w:rPr>
          <w:sz w:val="28"/>
          <w:szCs w:val="28"/>
        </w:rPr>
        <w:t>Effective Practices for Chronic Conditions Hypothesis Qualit</w:t>
      </w:r>
      <w:r w:rsidRPr="00CA30B4">
        <w:rPr>
          <w:sz w:val="28"/>
          <w:szCs w:val="28"/>
        </w:rPr>
        <w:t>y Strategy Goal</w:t>
      </w:r>
      <w:bookmarkEnd w:id="523"/>
      <w:bookmarkEnd w:id="524"/>
    </w:p>
    <w:p w14:paraId="747D0915" w14:textId="2A3F52F2" w:rsidR="002475D1" w:rsidRPr="009F3FDA" w:rsidRDefault="002475D1" w:rsidP="002475D1">
      <w:pPr>
        <w:pStyle w:val="BodyText"/>
        <w:rPr>
          <w:sz w:val="24"/>
          <w:szCs w:val="24"/>
        </w:rPr>
      </w:pPr>
      <w:r w:rsidRPr="009F3FDA">
        <w:rPr>
          <w:sz w:val="24"/>
          <w:szCs w:val="24"/>
        </w:rPr>
        <w:t>Did the DPPs promote effective practices for people with chronic, complex, and serious conditions to improve people’s quality of life and independence, reduce mortality rates, and better manage the leading drivers of health care costs?</w:t>
      </w:r>
    </w:p>
    <w:tbl>
      <w:tblPr>
        <w:tblStyle w:val="TableGrid"/>
        <w:tblW w:w="14305" w:type="dxa"/>
        <w:tblLayout w:type="fixed"/>
        <w:tblLook w:val="04A0" w:firstRow="1" w:lastRow="0" w:firstColumn="1" w:lastColumn="0" w:noHBand="0" w:noVBand="1"/>
      </w:tblPr>
      <w:tblGrid>
        <w:gridCol w:w="6655"/>
        <w:gridCol w:w="1350"/>
        <w:gridCol w:w="1440"/>
        <w:gridCol w:w="1440"/>
        <w:gridCol w:w="1440"/>
        <w:gridCol w:w="1980"/>
      </w:tblGrid>
      <w:tr w:rsidR="00153C14" w:rsidRPr="00BE5BB5" w14:paraId="7B4088E9" w14:textId="77777777" w:rsidTr="002E757C">
        <w:trPr>
          <w:trHeight w:val="1241"/>
        </w:trPr>
        <w:tc>
          <w:tcPr>
            <w:tcW w:w="6655" w:type="dxa"/>
            <w:shd w:val="clear" w:color="auto" w:fill="8BA8E2" w:themeFill="text1" w:themeFillTint="66"/>
            <w:hideMark/>
          </w:tcPr>
          <w:p w14:paraId="603D812A" w14:textId="77777777" w:rsidR="002475D1" w:rsidRPr="003B09DD" w:rsidRDefault="002475D1" w:rsidP="009F3FDA">
            <w:pPr>
              <w:spacing w:before="20" w:after="20"/>
              <w:jc w:val="center"/>
              <w:rPr>
                <w:b/>
                <w:color w:val="0F1E3C" w:themeColor="text1" w:themeShade="80"/>
                <w:sz w:val="22"/>
                <w:szCs w:val="22"/>
              </w:rPr>
            </w:pPr>
            <w:r w:rsidRPr="003B09DD">
              <w:rPr>
                <w:b/>
                <w:color w:val="0F1E3C" w:themeColor="text1" w:themeShade="80"/>
                <w:szCs w:val="22"/>
              </w:rPr>
              <w:t>Measure Name</w:t>
            </w:r>
          </w:p>
        </w:tc>
        <w:tc>
          <w:tcPr>
            <w:tcW w:w="1350" w:type="dxa"/>
            <w:shd w:val="clear" w:color="auto" w:fill="8BA8E2" w:themeFill="text1" w:themeFillTint="66"/>
          </w:tcPr>
          <w:p w14:paraId="32910DC9" w14:textId="77777777" w:rsidR="002475D1" w:rsidRPr="003B09DD" w:rsidRDefault="002475D1" w:rsidP="009F3FDA">
            <w:pPr>
              <w:spacing w:before="20" w:after="20"/>
              <w:jc w:val="center"/>
              <w:rPr>
                <w:b/>
                <w:sz w:val="22"/>
                <w:szCs w:val="22"/>
              </w:rPr>
            </w:pPr>
            <w:r w:rsidRPr="003B09DD">
              <w:rPr>
                <w:b/>
                <w:szCs w:val="22"/>
              </w:rPr>
              <w:t>DPP</w:t>
            </w:r>
          </w:p>
        </w:tc>
        <w:tc>
          <w:tcPr>
            <w:tcW w:w="1440" w:type="dxa"/>
            <w:shd w:val="clear" w:color="auto" w:fill="8BA8E2" w:themeFill="text1" w:themeFillTint="66"/>
            <w:hideMark/>
          </w:tcPr>
          <w:p w14:paraId="01CAB695" w14:textId="77777777" w:rsidR="002475D1" w:rsidRPr="003B09DD" w:rsidRDefault="002475D1" w:rsidP="009F3FDA">
            <w:pPr>
              <w:spacing w:before="20" w:after="20"/>
              <w:jc w:val="center"/>
              <w:rPr>
                <w:b/>
                <w:sz w:val="22"/>
                <w:szCs w:val="22"/>
              </w:rPr>
            </w:pPr>
            <w:r w:rsidRPr="003B09DD">
              <w:rPr>
                <w:b/>
                <w:szCs w:val="22"/>
              </w:rPr>
              <w:t>Median Rate 2021 (Baseline Year)</w:t>
            </w:r>
            <w:r w:rsidRPr="003B09DD">
              <w:rPr>
                <w:rStyle w:val="FootnoteReference"/>
                <w:b/>
                <w:szCs w:val="22"/>
              </w:rPr>
              <w:footnoteReference w:id="23"/>
            </w:r>
          </w:p>
        </w:tc>
        <w:tc>
          <w:tcPr>
            <w:tcW w:w="1440" w:type="dxa"/>
            <w:shd w:val="clear" w:color="auto" w:fill="8BA8E2" w:themeFill="text1" w:themeFillTint="66"/>
          </w:tcPr>
          <w:p w14:paraId="58CB2E72" w14:textId="77777777" w:rsidR="002475D1" w:rsidRPr="003B09DD" w:rsidRDefault="002475D1" w:rsidP="009F3FDA">
            <w:pPr>
              <w:spacing w:before="20" w:after="20"/>
              <w:jc w:val="center"/>
              <w:rPr>
                <w:b/>
                <w:sz w:val="22"/>
                <w:szCs w:val="22"/>
              </w:rPr>
            </w:pPr>
            <w:r w:rsidRPr="003B09DD">
              <w:rPr>
                <w:b/>
                <w:szCs w:val="22"/>
              </w:rPr>
              <w:t>Median Rate 2022</w:t>
            </w:r>
            <w:r w:rsidRPr="003B09DD">
              <w:rPr>
                <w:rStyle w:val="FootnoteReference"/>
                <w:b/>
                <w:szCs w:val="22"/>
              </w:rPr>
              <w:footnoteReference w:id="24"/>
            </w:r>
          </w:p>
        </w:tc>
        <w:tc>
          <w:tcPr>
            <w:tcW w:w="1440" w:type="dxa"/>
            <w:shd w:val="clear" w:color="auto" w:fill="8BA8E2" w:themeFill="text1" w:themeFillTint="66"/>
            <w:hideMark/>
          </w:tcPr>
          <w:p w14:paraId="05C1ADBA" w14:textId="77777777" w:rsidR="002475D1" w:rsidRPr="003B09DD" w:rsidRDefault="002475D1" w:rsidP="009F3FDA">
            <w:pPr>
              <w:spacing w:before="20" w:after="20"/>
              <w:jc w:val="center"/>
              <w:rPr>
                <w:b/>
                <w:sz w:val="22"/>
                <w:szCs w:val="22"/>
              </w:rPr>
            </w:pPr>
            <w:r w:rsidRPr="003B09DD">
              <w:rPr>
                <w:b/>
                <w:szCs w:val="22"/>
              </w:rPr>
              <w:t>% of Providers that Improved in 2022</w:t>
            </w:r>
            <w:r w:rsidRPr="003B09DD">
              <w:rPr>
                <w:rStyle w:val="FootnoteReference"/>
                <w:b/>
                <w:szCs w:val="22"/>
              </w:rPr>
              <w:footnoteReference w:id="25"/>
            </w:r>
          </w:p>
        </w:tc>
        <w:tc>
          <w:tcPr>
            <w:tcW w:w="1980" w:type="dxa"/>
            <w:shd w:val="clear" w:color="auto" w:fill="8BA8E2" w:themeFill="text1" w:themeFillTint="66"/>
          </w:tcPr>
          <w:p w14:paraId="723268AC" w14:textId="11C1664B" w:rsidR="002475D1" w:rsidRPr="003B09DD" w:rsidRDefault="00310FEF" w:rsidP="009F3FDA">
            <w:pPr>
              <w:spacing w:before="20" w:after="20"/>
              <w:jc w:val="center"/>
              <w:rPr>
                <w:b/>
                <w:sz w:val="22"/>
                <w:szCs w:val="22"/>
              </w:rPr>
            </w:pPr>
            <w:r w:rsidRPr="00310FEF">
              <w:rPr>
                <w:b/>
                <w:bCs/>
              </w:rPr>
              <w:t>CY2022 and CY2023 Evaluation Target</w:t>
            </w:r>
            <w:r w:rsidRPr="00310FEF">
              <w:rPr>
                <w:rStyle w:val="FootnoteReference"/>
                <w:b/>
                <w:bCs/>
              </w:rPr>
              <w:footnoteReference w:id="26"/>
            </w:r>
            <w:r w:rsidRPr="00B37721">
              <w:t xml:space="preserve"> </w:t>
            </w:r>
            <w:r w:rsidRPr="00B37721">
              <w:rPr>
                <w:bCs/>
              </w:rPr>
              <w:t xml:space="preserve">(green if met in </w:t>
            </w:r>
            <w:r>
              <w:rPr>
                <w:bCs/>
              </w:rPr>
              <w:t>CY</w:t>
            </w:r>
            <w:r w:rsidRPr="00B37721">
              <w:rPr>
                <w:bCs/>
              </w:rPr>
              <w:t>2022)</w:t>
            </w:r>
          </w:p>
        </w:tc>
      </w:tr>
      <w:tr w:rsidR="003A0922" w:rsidRPr="002475D1" w14:paraId="0D2A79FF" w14:textId="77777777" w:rsidTr="007C3788">
        <w:tc>
          <w:tcPr>
            <w:tcW w:w="6655" w:type="dxa"/>
          </w:tcPr>
          <w:p w14:paraId="547E9F26" w14:textId="77777777" w:rsidR="002475D1" w:rsidRPr="009F3FDA" w:rsidRDefault="002475D1" w:rsidP="003B4B6C">
            <w:pPr>
              <w:pStyle w:val="BodyTextafterheading"/>
              <w:spacing w:after="120"/>
              <w:rPr>
                <w:bCs/>
                <w:color w:val="0D0D0D" w:themeColor="text2" w:themeTint="F2"/>
                <w:sz w:val="22"/>
                <w:szCs w:val="22"/>
              </w:rPr>
            </w:pPr>
            <w:r w:rsidRPr="009F3FDA">
              <w:rPr>
                <w:rFonts w:cs="Calibri"/>
                <w:bCs/>
                <w:color w:val="0D0D0D" w:themeColor="text2" w:themeTint="F2"/>
                <w:sz w:val="22"/>
                <w:szCs w:val="22"/>
              </w:rPr>
              <w:t xml:space="preserve">Controlling High Blood Pressure </w:t>
            </w:r>
          </w:p>
        </w:tc>
        <w:tc>
          <w:tcPr>
            <w:tcW w:w="1350" w:type="dxa"/>
          </w:tcPr>
          <w:p w14:paraId="18AC5371" w14:textId="77777777" w:rsidR="002475D1" w:rsidRPr="009F3FDA" w:rsidRDefault="002475D1" w:rsidP="003B4B6C">
            <w:pPr>
              <w:pStyle w:val="BodyTextafterheading"/>
              <w:spacing w:after="120"/>
              <w:jc w:val="center"/>
              <w:rPr>
                <w:rFonts w:cs="Calibri"/>
                <w:bCs/>
                <w:color w:val="000000"/>
                <w:sz w:val="22"/>
                <w:szCs w:val="22"/>
              </w:rPr>
            </w:pPr>
            <w:r w:rsidRPr="009F3FDA">
              <w:rPr>
                <w:rFonts w:cs="Calibri"/>
                <w:bCs/>
                <w:color w:val="000000"/>
                <w:sz w:val="22"/>
                <w:szCs w:val="22"/>
              </w:rPr>
              <w:t>TIPPS</w:t>
            </w:r>
          </w:p>
        </w:tc>
        <w:tc>
          <w:tcPr>
            <w:tcW w:w="1440" w:type="dxa"/>
          </w:tcPr>
          <w:p w14:paraId="2609D957" w14:textId="77777777" w:rsidR="002475D1" w:rsidRPr="009F3FDA" w:rsidRDefault="002475D1" w:rsidP="003B4B6C">
            <w:pPr>
              <w:pStyle w:val="BodyTextafterheading"/>
              <w:spacing w:after="120"/>
              <w:jc w:val="center"/>
              <w:rPr>
                <w:bCs/>
                <w:sz w:val="22"/>
                <w:szCs w:val="22"/>
              </w:rPr>
            </w:pPr>
            <w:r w:rsidRPr="009F3FDA">
              <w:rPr>
                <w:rFonts w:cs="Calibri"/>
                <w:bCs/>
                <w:color w:val="000000"/>
                <w:sz w:val="22"/>
                <w:szCs w:val="22"/>
              </w:rPr>
              <w:t>57.81%</w:t>
            </w:r>
          </w:p>
        </w:tc>
        <w:tc>
          <w:tcPr>
            <w:tcW w:w="1440" w:type="dxa"/>
            <w:shd w:val="clear" w:color="auto" w:fill="E1F2DA" w:themeFill="accent3" w:themeFillTint="33"/>
          </w:tcPr>
          <w:p w14:paraId="62E3966D" w14:textId="77777777" w:rsidR="002475D1" w:rsidRPr="009F3FDA" w:rsidRDefault="002475D1" w:rsidP="003B4B6C">
            <w:pPr>
              <w:pStyle w:val="BodyTextafterheading"/>
              <w:spacing w:after="120"/>
              <w:jc w:val="center"/>
              <w:rPr>
                <w:bCs/>
                <w:sz w:val="22"/>
                <w:szCs w:val="22"/>
              </w:rPr>
            </w:pPr>
            <w:r w:rsidRPr="009F3FDA">
              <w:rPr>
                <w:bCs/>
                <w:sz w:val="22"/>
                <w:szCs w:val="22"/>
              </w:rPr>
              <w:t xml:space="preserve">66.03% </w:t>
            </w:r>
            <w:r w:rsidRPr="009F3FDA">
              <w:rPr>
                <w:rFonts w:cs="Calibri"/>
                <w:bCs/>
                <w:color w:val="00B050"/>
                <w:sz w:val="22"/>
                <w:szCs w:val="22"/>
              </w:rPr>
              <w:sym w:font="Symbol" w:char="F0AD"/>
            </w:r>
          </w:p>
        </w:tc>
        <w:tc>
          <w:tcPr>
            <w:tcW w:w="1440" w:type="dxa"/>
          </w:tcPr>
          <w:p w14:paraId="500EB9CD" w14:textId="77777777" w:rsidR="002475D1" w:rsidRPr="009F3FDA" w:rsidRDefault="002475D1" w:rsidP="003B4B6C">
            <w:pPr>
              <w:pStyle w:val="BodyTextafterheading"/>
              <w:spacing w:after="120"/>
              <w:jc w:val="center"/>
              <w:rPr>
                <w:bCs/>
                <w:sz w:val="22"/>
                <w:szCs w:val="22"/>
              </w:rPr>
            </w:pPr>
            <w:r w:rsidRPr="009F3FDA">
              <w:rPr>
                <w:rFonts w:cs="Calibri"/>
                <w:bCs/>
                <w:color w:val="000000"/>
                <w:sz w:val="22"/>
                <w:szCs w:val="22"/>
              </w:rPr>
              <w:t>62%</w:t>
            </w:r>
          </w:p>
        </w:tc>
        <w:tc>
          <w:tcPr>
            <w:tcW w:w="1980" w:type="dxa"/>
            <w:shd w:val="clear" w:color="auto" w:fill="E1F2DA" w:themeFill="accent3" w:themeFillTint="33"/>
          </w:tcPr>
          <w:p w14:paraId="5FFABE05" w14:textId="77777777" w:rsidR="002475D1" w:rsidRPr="009F3FDA" w:rsidRDefault="002475D1" w:rsidP="003B4B6C">
            <w:pPr>
              <w:pStyle w:val="BodyTextafterheading"/>
              <w:spacing w:after="120"/>
              <w:jc w:val="center"/>
              <w:rPr>
                <w:rFonts w:cs="Calibri"/>
                <w:bCs/>
                <w:color w:val="000000"/>
                <w:sz w:val="22"/>
                <w:szCs w:val="22"/>
              </w:rPr>
            </w:pPr>
            <w:r w:rsidRPr="009F3FDA">
              <w:rPr>
                <w:rFonts w:cs="Calibri"/>
                <w:bCs/>
                <w:color w:val="000000"/>
                <w:sz w:val="22"/>
                <w:szCs w:val="22"/>
              </w:rPr>
              <w:t>58.90%</w:t>
            </w:r>
          </w:p>
        </w:tc>
      </w:tr>
      <w:tr w:rsidR="003A0922" w:rsidRPr="002475D1" w14:paraId="2E32B5B2" w14:textId="77777777" w:rsidTr="007C3788">
        <w:tc>
          <w:tcPr>
            <w:tcW w:w="6655" w:type="dxa"/>
          </w:tcPr>
          <w:p w14:paraId="3175D03F" w14:textId="77777777" w:rsidR="002475D1" w:rsidRPr="009F3FDA" w:rsidRDefault="002475D1" w:rsidP="003B4B6C">
            <w:pPr>
              <w:pStyle w:val="BodyTextafterheading"/>
              <w:spacing w:after="120"/>
              <w:rPr>
                <w:bCs/>
                <w:color w:val="0D0D0D" w:themeColor="text2" w:themeTint="F2"/>
                <w:sz w:val="22"/>
                <w:szCs w:val="22"/>
              </w:rPr>
            </w:pPr>
            <w:r w:rsidRPr="009F3FDA">
              <w:rPr>
                <w:rFonts w:cs="Calibri"/>
                <w:bCs/>
                <w:color w:val="0D0D0D" w:themeColor="text2" w:themeTint="F2"/>
                <w:sz w:val="22"/>
                <w:szCs w:val="22"/>
              </w:rPr>
              <w:t xml:space="preserve">Hemoglobin A1c Poor Control &gt;9% </w:t>
            </w:r>
            <w:r w:rsidRPr="009F3FDA">
              <w:rPr>
                <w:rStyle w:val="FootnoteReference"/>
                <w:bCs/>
                <w:color w:val="0D0D0D" w:themeColor="text2" w:themeTint="F2"/>
                <w:sz w:val="22"/>
                <w:szCs w:val="22"/>
              </w:rPr>
              <w:t>*</w:t>
            </w:r>
          </w:p>
        </w:tc>
        <w:tc>
          <w:tcPr>
            <w:tcW w:w="1350" w:type="dxa"/>
          </w:tcPr>
          <w:p w14:paraId="0FC2C706" w14:textId="77777777" w:rsidR="002475D1" w:rsidRPr="009F3FDA" w:rsidRDefault="002475D1" w:rsidP="003B4B6C">
            <w:pPr>
              <w:pStyle w:val="BodyTextafterheading"/>
              <w:spacing w:after="120"/>
              <w:jc w:val="center"/>
              <w:rPr>
                <w:rFonts w:cs="Calibri"/>
                <w:bCs/>
                <w:color w:val="000000"/>
                <w:sz w:val="22"/>
                <w:szCs w:val="22"/>
              </w:rPr>
            </w:pPr>
            <w:r w:rsidRPr="009F3FDA">
              <w:rPr>
                <w:rFonts w:cs="Calibri"/>
                <w:bCs/>
                <w:color w:val="000000"/>
                <w:sz w:val="22"/>
                <w:szCs w:val="22"/>
              </w:rPr>
              <w:t>TIPPS</w:t>
            </w:r>
          </w:p>
        </w:tc>
        <w:tc>
          <w:tcPr>
            <w:tcW w:w="1440" w:type="dxa"/>
          </w:tcPr>
          <w:p w14:paraId="3E59E541" w14:textId="77777777" w:rsidR="002475D1" w:rsidRPr="009F3FDA" w:rsidRDefault="002475D1" w:rsidP="003B4B6C">
            <w:pPr>
              <w:pStyle w:val="BodyTextafterheading"/>
              <w:spacing w:after="120"/>
              <w:jc w:val="center"/>
              <w:rPr>
                <w:bCs/>
                <w:sz w:val="22"/>
                <w:szCs w:val="22"/>
              </w:rPr>
            </w:pPr>
            <w:r w:rsidRPr="009F3FDA">
              <w:rPr>
                <w:rFonts w:cs="Calibri"/>
                <w:bCs/>
                <w:color w:val="000000"/>
                <w:sz w:val="22"/>
                <w:szCs w:val="22"/>
              </w:rPr>
              <w:t>38.17%</w:t>
            </w:r>
          </w:p>
        </w:tc>
        <w:tc>
          <w:tcPr>
            <w:tcW w:w="1440" w:type="dxa"/>
            <w:shd w:val="clear" w:color="auto" w:fill="E1F2DA" w:themeFill="accent3" w:themeFillTint="33"/>
          </w:tcPr>
          <w:p w14:paraId="19BCD1AC" w14:textId="77777777" w:rsidR="002475D1" w:rsidRPr="009F3FDA" w:rsidRDefault="002475D1" w:rsidP="003B4B6C">
            <w:pPr>
              <w:pStyle w:val="BodyTextafterheading"/>
              <w:spacing w:after="120"/>
              <w:jc w:val="center"/>
              <w:rPr>
                <w:bCs/>
                <w:sz w:val="22"/>
                <w:szCs w:val="22"/>
              </w:rPr>
            </w:pPr>
            <w:r w:rsidRPr="009F3FDA">
              <w:rPr>
                <w:bCs/>
                <w:sz w:val="22"/>
                <w:szCs w:val="22"/>
              </w:rPr>
              <w:t xml:space="preserve">36.66% </w:t>
            </w:r>
            <w:r w:rsidRPr="009F3FDA">
              <w:rPr>
                <w:bCs/>
                <w:color w:val="00B050"/>
                <w:sz w:val="22"/>
                <w:szCs w:val="22"/>
              </w:rPr>
              <w:sym w:font="Symbol" w:char="F0AF"/>
            </w:r>
          </w:p>
        </w:tc>
        <w:tc>
          <w:tcPr>
            <w:tcW w:w="1440" w:type="dxa"/>
          </w:tcPr>
          <w:p w14:paraId="7BC46BE7" w14:textId="77777777" w:rsidR="002475D1" w:rsidRPr="009F3FDA" w:rsidRDefault="002475D1" w:rsidP="003B4B6C">
            <w:pPr>
              <w:pStyle w:val="BodyTextafterheading"/>
              <w:spacing w:after="120"/>
              <w:jc w:val="center"/>
              <w:rPr>
                <w:bCs/>
                <w:sz w:val="22"/>
                <w:szCs w:val="22"/>
              </w:rPr>
            </w:pPr>
            <w:r w:rsidRPr="009F3FDA">
              <w:rPr>
                <w:rFonts w:cs="Calibri"/>
                <w:bCs/>
                <w:color w:val="000000"/>
                <w:sz w:val="22"/>
                <w:szCs w:val="22"/>
              </w:rPr>
              <w:t>60%</w:t>
            </w:r>
          </w:p>
        </w:tc>
        <w:tc>
          <w:tcPr>
            <w:tcW w:w="1980" w:type="dxa"/>
            <w:shd w:val="clear" w:color="auto" w:fill="E1F2DA" w:themeFill="accent3" w:themeFillTint="33"/>
          </w:tcPr>
          <w:p w14:paraId="396C7481" w14:textId="77777777" w:rsidR="002475D1" w:rsidRPr="009F3FDA" w:rsidRDefault="002475D1" w:rsidP="003B4B6C">
            <w:pPr>
              <w:pStyle w:val="BodyTextafterheading"/>
              <w:spacing w:after="120"/>
              <w:jc w:val="center"/>
              <w:rPr>
                <w:rFonts w:cs="Calibri"/>
                <w:bCs/>
                <w:color w:val="000000"/>
                <w:sz w:val="22"/>
                <w:szCs w:val="22"/>
              </w:rPr>
            </w:pPr>
            <w:r w:rsidRPr="009F3FDA">
              <w:rPr>
                <w:rFonts w:cs="Calibri"/>
                <w:bCs/>
                <w:color w:val="000000"/>
                <w:sz w:val="22"/>
                <w:szCs w:val="22"/>
              </w:rPr>
              <w:t>39.90%</w:t>
            </w:r>
          </w:p>
        </w:tc>
      </w:tr>
      <w:tr w:rsidR="00153C14" w:rsidRPr="002475D1" w14:paraId="2E6C38A4" w14:textId="77777777" w:rsidTr="007C3788">
        <w:tc>
          <w:tcPr>
            <w:tcW w:w="6655" w:type="dxa"/>
          </w:tcPr>
          <w:p w14:paraId="5C0341FA" w14:textId="77777777" w:rsidR="007804EA" w:rsidRPr="009F3FDA" w:rsidRDefault="007804EA" w:rsidP="003B4B6C">
            <w:pPr>
              <w:pStyle w:val="BodyTextafterheading"/>
              <w:spacing w:after="120"/>
              <w:rPr>
                <w:bCs/>
                <w:color w:val="0D0D0D" w:themeColor="text2" w:themeTint="F2"/>
                <w:sz w:val="22"/>
                <w:szCs w:val="22"/>
              </w:rPr>
            </w:pPr>
            <w:r w:rsidRPr="009F3FDA">
              <w:rPr>
                <w:rFonts w:cs="Calibri"/>
                <w:bCs/>
                <w:color w:val="0D0D0D" w:themeColor="text2" w:themeTint="F2"/>
                <w:sz w:val="22"/>
                <w:szCs w:val="22"/>
              </w:rPr>
              <w:t>Depression Screening and Follow-Up Plan</w:t>
            </w:r>
          </w:p>
        </w:tc>
        <w:tc>
          <w:tcPr>
            <w:tcW w:w="1350" w:type="dxa"/>
          </w:tcPr>
          <w:p w14:paraId="04070258" w14:textId="77777777" w:rsidR="007804EA" w:rsidRPr="009F3FDA" w:rsidRDefault="007804EA" w:rsidP="003B4B6C">
            <w:pPr>
              <w:pStyle w:val="BodyTextafterheading"/>
              <w:spacing w:after="120"/>
              <w:jc w:val="center"/>
              <w:rPr>
                <w:rFonts w:cs="Calibri"/>
                <w:bCs/>
                <w:color w:val="000000"/>
                <w:sz w:val="22"/>
                <w:szCs w:val="22"/>
              </w:rPr>
            </w:pPr>
            <w:r w:rsidRPr="009F3FDA">
              <w:rPr>
                <w:rFonts w:cs="Calibri"/>
                <w:bCs/>
                <w:color w:val="000000"/>
                <w:sz w:val="22"/>
                <w:szCs w:val="22"/>
              </w:rPr>
              <w:t>TIPPS</w:t>
            </w:r>
          </w:p>
        </w:tc>
        <w:tc>
          <w:tcPr>
            <w:tcW w:w="1440" w:type="dxa"/>
          </w:tcPr>
          <w:p w14:paraId="1BF19A60" w14:textId="77777777" w:rsidR="007804EA" w:rsidRPr="009F3FDA" w:rsidRDefault="007804EA" w:rsidP="003B4B6C">
            <w:pPr>
              <w:pStyle w:val="BodyTextafterheading"/>
              <w:spacing w:after="120"/>
              <w:jc w:val="center"/>
              <w:rPr>
                <w:bCs/>
                <w:sz w:val="22"/>
                <w:szCs w:val="22"/>
              </w:rPr>
            </w:pPr>
            <w:r w:rsidRPr="009F3FDA">
              <w:rPr>
                <w:rFonts w:cs="Calibri"/>
                <w:bCs/>
                <w:color w:val="000000"/>
                <w:sz w:val="22"/>
                <w:szCs w:val="22"/>
              </w:rPr>
              <w:t>40.62%</w:t>
            </w:r>
          </w:p>
        </w:tc>
        <w:tc>
          <w:tcPr>
            <w:tcW w:w="1440" w:type="dxa"/>
            <w:shd w:val="clear" w:color="auto" w:fill="E1F2DA" w:themeFill="accent3" w:themeFillTint="33"/>
          </w:tcPr>
          <w:p w14:paraId="1EBC1564" w14:textId="77777777" w:rsidR="007804EA" w:rsidRPr="009F3FDA" w:rsidRDefault="007804EA" w:rsidP="003B4B6C">
            <w:pPr>
              <w:pStyle w:val="BodyTextafterheading"/>
              <w:spacing w:after="120"/>
              <w:jc w:val="center"/>
              <w:rPr>
                <w:bCs/>
                <w:sz w:val="22"/>
                <w:szCs w:val="22"/>
              </w:rPr>
            </w:pPr>
            <w:r w:rsidRPr="009F3FDA">
              <w:rPr>
                <w:bCs/>
                <w:sz w:val="22"/>
                <w:szCs w:val="22"/>
              </w:rPr>
              <w:t xml:space="preserve">42.61% </w:t>
            </w:r>
            <w:r w:rsidRPr="009F3FDA">
              <w:rPr>
                <w:rFonts w:cs="Calibri"/>
                <w:bCs/>
                <w:color w:val="00B050"/>
                <w:sz w:val="22"/>
                <w:szCs w:val="22"/>
              </w:rPr>
              <w:sym w:font="Symbol" w:char="F0AD"/>
            </w:r>
          </w:p>
        </w:tc>
        <w:tc>
          <w:tcPr>
            <w:tcW w:w="1440" w:type="dxa"/>
          </w:tcPr>
          <w:p w14:paraId="308D5FDE" w14:textId="77777777" w:rsidR="007804EA" w:rsidRPr="009F3FDA" w:rsidRDefault="007804EA" w:rsidP="003B4B6C">
            <w:pPr>
              <w:pStyle w:val="BodyTextafterheading"/>
              <w:spacing w:after="120"/>
              <w:jc w:val="center"/>
              <w:rPr>
                <w:bCs/>
                <w:sz w:val="22"/>
                <w:szCs w:val="22"/>
              </w:rPr>
            </w:pPr>
            <w:r w:rsidRPr="009F3FDA">
              <w:rPr>
                <w:rFonts w:cs="Calibri"/>
                <w:bCs/>
                <w:color w:val="000000"/>
                <w:sz w:val="22"/>
                <w:szCs w:val="22"/>
              </w:rPr>
              <w:t>62%</w:t>
            </w:r>
          </w:p>
        </w:tc>
        <w:tc>
          <w:tcPr>
            <w:tcW w:w="1980" w:type="dxa"/>
            <w:shd w:val="clear" w:color="auto" w:fill="auto"/>
          </w:tcPr>
          <w:p w14:paraId="3AA38684" w14:textId="77777777" w:rsidR="007804EA" w:rsidRPr="009F3FDA" w:rsidRDefault="007804EA" w:rsidP="003B4B6C">
            <w:pPr>
              <w:pStyle w:val="BodyTextafterheading"/>
              <w:spacing w:after="120"/>
              <w:jc w:val="center"/>
              <w:rPr>
                <w:rFonts w:cs="Calibri"/>
                <w:bCs/>
                <w:color w:val="000000"/>
                <w:sz w:val="22"/>
                <w:szCs w:val="22"/>
              </w:rPr>
            </w:pPr>
            <w:r w:rsidRPr="009F3FDA">
              <w:rPr>
                <w:rFonts w:cs="Calibri"/>
                <w:bCs/>
                <w:color w:val="000000"/>
                <w:sz w:val="22"/>
                <w:szCs w:val="22"/>
              </w:rPr>
              <w:t>46.68%</w:t>
            </w:r>
          </w:p>
        </w:tc>
      </w:tr>
      <w:tr w:rsidR="003A0922" w:rsidRPr="002475D1" w14:paraId="09F1A333" w14:textId="77777777" w:rsidTr="007C3788">
        <w:tc>
          <w:tcPr>
            <w:tcW w:w="6655" w:type="dxa"/>
          </w:tcPr>
          <w:p w14:paraId="6FE21BC9" w14:textId="77777777" w:rsidR="002475D1" w:rsidRPr="009F3FDA" w:rsidRDefault="002475D1" w:rsidP="003B4B6C">
            <w:pPr>
              <w:pStyle w:val="BodyTextafterheading"/>
              <w:spacing w:after="120"/>
              <w:rPr>
                <w:bCs/>
                <w:color w:val="0D0D0D" w:themeColor="text2" w:themeTint="F2"/>
                <w:sz w:val="22"/>
                <w:szCs w:val="22"/>
              </w:rPr>
            </w:pPr>
            <w:r w:rsidRPr="009F3FDA">
              <w:rPr>
                <w:rFonts w:cs="Calibri"/>
                <w:bCs/>
                <w:color w:val="0D0D0D" w:themeColor="text2" w:themeTint="F2"/>
                <w:sz w:val="22"/>
                <w:szCs w:val="22"/>
              </w:rPr>
              <w:t>Depression Response at Twelve Months</w:t>
            </w:r>
          </w:p>
        </w:tc>
        <w:tc>
          <w:tcPr>
            <w:tcW w:w="1350" w:type="dxa"/>
          </w:tcPr>
          <w:p w14:paraId="5050DDE3" w14:textId="77777777" w:rsidR="002475D1" w:rsidRPr="009F3FDA" w:rsidRDefault="002475D1" w:rsidP="003B4B6C">
            <w:pPr>
              <w:pStyle w:val="BodyTextafterheading"/>
              <w:spacing w:after="120"/>
              <w:jc w:val="center"/>
              <w:rPr>
                <w:rFonts w:cs="Calibri"/>
                <w:bCs/>
                <w:color w:val="000000"/>
                <w:sz w:val="22"/>
                <w:szCs w:val="22"/>
              </w:rPr>
            </w:pPr>
            <w:r w:rsidRPr="009F3FDA">
              <w:rPr>
                <w:rFonts w:cs="Calibri"/>
                <w:bCs/>
                <w:color w:val="000000"/>
                <w:sz w:val="22"/>
                <w:szCs w:val="22"/>
              </w:rPr>
              <w:t>TIPPS</w:t>
            </w:r>
          </w:p>
        </w:tc>
        <w:tc>
          <w:tcPr>
            <w:tcW w:w="1440" w:type="dxa"/>
          </w:tcPr>
          <w:p w14:paraId="495D2EA6" w14:textId="77777777" w:rsidR="002475D1" w:rsidRPr="009F3FDA" w:rsidRDefault="002475D1" w:rsidP="003B4B6C">
            <w:pPr>
              <w:pStyle w:val="BodyTextafterheading"/>
              <w:spacing w:after="120"/>
              <w:jc w:val="center"/>
              <w:rPr>
                <w:bCs/>
                <w:sz w:val="22"/>
                <w:szCs w:val="22"/>
              </w:rPr>
            </w:pPr>
            <w:r w:rsidRPr="009F3FDA">
              <w:rPr>
                <w:rFonts w:cs="Calibri"/>
                <w:bCs/>
                <w:color w:val="000000"/>
                <w:sz w:val="22"/>
                <w:szCs w:val="22"/>
              </w:rPr>
              <w:t>5.35%</w:t>
            </w:r>
          </w:p>
        </w:tc>
        <w:tc>
          <w:tcPr>
            <w:tcW w:w="1440" w:type="dxa"/>
            <w:shd w:val="clear" w:color="auto" w:fill="E1F2DA" w:themeFill="accent3" w:themeFillTint="33"/>
          </w:tcPr>
          <w:p w14:paraId="16D36056" w14:textId="77777777" w:rsidR="002475D1" w:rsidRPr="009F3FDA" w:rsidRDefault="002475D1" w:rsidP="003B4B6C">
            <w:pPr>
              <w:pStyle w:val="BodyTextafterheading"/>
              <w:spacing w:after="120"/>
              <w:jc w:val="center"/>
              <w:rPr>
                <w:bCs/>
                <w:sz w:val="22"/>
                <w:szCs w:val="22"/>
              </w:rPr>
            </w:pPr>
            <w:r w:rsidRPr="009F3FDA">
              <w:rPr>
                <w:bCs/>
                <w:sz w:val="22"/>
                <w:szCs w:val="22"/>
              </w:rPr>
              <w:t xml:space="preserve">10.56% </w:t>
            </w:r>
            <w:r w:rsidRPr="009F3FDA">
              <w:rPr>
                <w:rFonts w:cs="Calibri"/>
                <w:bCs/>
                <w:color w:val="00B050"/>
                <w:sz w:val="22"/>
                <w:szCs w:val="22"/>
              </w:rPr>
              <w:sym w:font="Symbol" w:char="F0AD"/>
            </w:r>
          </w:p>
        </w:tc>
        <w:tc>
          <w:tcPr>
            <w:tcW w:w="1440" w:type="dxa"/>
          </w:tcPr>
          <w:p w14:paraId="46238867" w14:textId="77777777" w:rsidR="002475D1" w:rsidRPr="009F3FDA" w:rsidRDefault="002475D1" w:rsidP="003B4B6C">
            <w:pPr>
              <w:pStyle w:val="BodyTextafterheading"/>
              <w:spacing w:after="120"/>
              <w:jc w:val="center"/>
              <w:rPr>
                <w:bCs/>
                <w:sz w:val="22"/>
                <w:szCs w:val="22"/>
              </w:rPr>
            </w:pPr>
            <w:r w:rsidRPr="009F3FDA">
              <w:rPr>
                <w:rFonts w:cs="Calibri"/>
                <w:bCs/>
                <w:color w:val="000000"/>
                <w:sz w:val="22"/>
                <w:szCs w:val="22"/>
              </w:rPr>
              <w:t>76%</w:t>
            </w:r>
          </w:p>
        </w:tc>
        <w:tc>
          <w:tcPr>
            <w:tcW w:w="1980" w:type="dxa"/>
            <w:shd w:val="clear" w:color="auto" w:fill="auto"/>
          </w:tcPr>
          <w:p w14:paraId="5C34A3FE" w14:textId="77777777" w:rsidR="002475D1" w:rsidRPr="009F3FDA" w:rsidRDefault="002475D1" w:rsidP="003B4B6C">
            <w:pPr>
              <w:pStyle w:val="BodyTextafterheading"/>
              <w:spacing w:after="120"/>
              <w:jc w:val="center"/>
              <w:rPr>
                <w:rFonts w:cs="Calibri"/>
                <w:bCs/>
                <w:color w:val="000000"/>
                <w:sz w:val="22"/>
                <w:szCs w:val="22"/>
              </w:rPr>
            </w:pPr>
            <w:r w:rsidRPr="009F3FDA">
              <w:rPr>
                <w:rFonts w:cs="Calibri"/>
                <w:bCs/>
                <w:color w:val="000000"/>
                <w:sz w:val="22"/>
                <w:szCs w:val="22"/>
              </w:rPr>
              <w:t>10.59%</w:t>
            </w:r>
          </w:p>
        </w:tc>
      </w:tr>
      <w:tr w:rsidR="00153C14" w:rsidRPr="002475D1" w14:paraId="2263FC6C" w14:textId="77777777" w:rsidTr="007C3788">
        <w:tc>
          <w:tcPr>
            <w:tcW w:w="6655" w:type="dxa"/>
          </w:tcPr>
          <w:p w14:paraId="6DA03D0B" w14:textId="77777777" w:rsidR="002475D1" w:rsidRPr="009F3FDA" w:rsidRDefault="002475D1" w:rsidP="003B4B6C">
            <w:pPr>
              <w:pStyle w:val="BodyTextafterheading"/>
              <w:spacing w:after="120"/>
              <w:rPr>
                <w:rFonts w:cs="Calibri"/>
                <w:bCs/>
                <w:color w:val="0D0D0D" w:themeColor="text2" w:themeTint="F2"/>
                <w:sz w:val="22"/>
                <w:szCs w:val="22"/>
              </w:rPr>
            </w:pPr>
            <w:r w:rsidRPr="009F3FDA">
              <w:rPr>
                <w:rFonts w:cs="Calibri"/>
                <w:bCs/>
                <w:color w:val="0D0D0D" w:themeColor="text2" w:themeTint="F2"/>
                <w:sz w:val="22"/>
                <w:szCs w:val="22"/>
              </w:rPr>
              <w:t>Unhealthy Alcohol Use: Screening and Brief Counseling</w:t>
            </w:r>
          </w:p>
        </w:tc>
        <w:tc>
          <w:tcPr>
            <w:tcW w:w="1350" w:type="dxa"/>
          </w:tcPr>
          <w:p w14:paraId="3752CE00" w14:textId="77777777" w:rsidR="002475D1" w:rsidRPr="009F3FDA" w:rsidRDefault="002475D1" w:rsidP="003B4B6C">
            <w:pPr>
              <w:pStyle w:val="BodyTextafterheading"/>
              <w:spacing w:after="120"/>
              <w:jc w:val="center"/>
              <w:rPr>
                <w:rFonts w:cs="Calibri"/>
                <w:bCs/>
                <w:color w:val="0F1E3C" w:themeColor="text1" w:themeShade="80"/>
                <w:sz w:val="22"/>
                <w:szCs w:val="22"/>
              </w:rPr>
            </w:pPr>
            <w:r w:rsidRPr="009F3FDA">
              <w:rPr>
                <w:rFonts w:cs="Calibri"/>
                <w:bCs/>
                <w:color w:val="0F1E3C" w:themeColor="text1" w:themeShade="80"/>
                <w:sz w:val="22"/>
                <w:szCs w:val="22"/>
              </w:rPr>
              <w:t>DPP BHS</w:t>
            </w:r>
          </w:p>
        </w:tc>
        <w:tc>
          <w:tcPr>
            <w:tcW w:w="1440" w:type="dxa"/>
          </w:tcPr>
          <w:p w14:paraId="7EB5AB57" w14:textId="77777777" w:rsidR="002475D1" w:rsidRPr="009F3FDA" w:rsidRDefault="002475D1" w:rsidP="003B4B6C">
            <w:pPr>
              <w:pStyle w:val="BodyTextafterheading"/>
              <w:spacing w:after="120"/>
              <w:jc w:val="center"/>
              <w:rPr>
                <w:rFonts w:cs="Calibri"/>
                <w:bCs/>
                <w:color w:val="0F1E3C" w:themeColor="text1" w:themeShade="80"/>
                <w:sz w:val="22"/>
                <w:szCs w:val="22"/>
              </w:rPr>
            </w:pPr>
            <w:r w:rsidRPr="009F3FDA">
              <w:rPr>
                <w:rFonts w:cs="Calibri"/>
                <w:bCs/>
                <w:color w:val="0F1E3C" w:themeColor="text1" w:themeShade="80"/>
                <w:sz w:val="22"/>
                <w:szCs w:val="22"/>
              </w:rPr>
              <w:t>75.00%</w:t>
            </w:r>
          </w:p>
        </w:tc>
        <w:tc>
          <w:tcPr>
            <w:tcW w:w="1440" w:type="dxa"/>
            <w:shd w:val="clear" w:color="auto" w:fill="E1F2DA" w:themeFill="accent3" w:themeFillTint="33"/>
          </w:tcPr>
          <w:p w14:paraId="1A7B248A" w14:textId="77777777" w:rsidR="002475D1" w:rsidRPr="009F3FDA" w:rsidRDefault="002475D1" w:rsidP="003B4B6C">
            <w:pPr>
              <w:pStyle w:val="BodyTextafterheading"/>
              <w:spacing w:after="120"/>
              <w:jc w:val="center"/>
              <w:rPr>
                <w:bCs/>
                <w:color w:val="0F1E3C" w:themeColor="text1" w:themeShade="80"/>
                <w:sz w:val="22"/>
                <w:szCs w:val="22"/>
              </w:rPr>
            </w:pPr>
            <w:r w:rsidRPr="009F3FDA">
              <w:rPr>
                <w:bCs/>
                <w:color w:val="0F1E3C" w:themeColor="text1" w:themeShade="80"/>
                <w:sz w:val="22"/>
                <w:szCs w:val="22"/>
              </w:rPr>
              <w:t xml:space="preserve">75.34% </w:t>
            </w:r>
            <w:r w:rsidRPr="009F3FDA">
              <w:rPr>
                <w:rFonts w:cs="Calibri"/>
                <w:bCs/>
                <w:color w:val="00B050"/>
                <w:sz w:val="22"/>
                <w:szCs w:val="22"/>
              </w:rPr>
              <w:sym w:font="Symbol" w:char="F0AD"/>
            </w:r>
          </w:p>
        </w:tc>
        <w:tc>
          <w:tcPr>
            <w:tcW w:w="1440" w:type="dxa"/>
          </w:tcPr>
          <w:p w14:paraId="01358666" w14:textId="77777777" w:rsidR="002475D1" w:rsidRPr="009F3FDA" w:rsidRDefault="002475D1" w:rsidP="003B4B6C">
            <w:pPr>
              <w:pStyle w:val="BodyTextafterheading"/>
              <w:spacing w:after="120"/>
              <w:jc w:val="center"/>
              <w:rPr>
                <w:rFonts w:cs="Calibri"/>
                <w:bCs/>
                <w:color w:val="0F1E3C" w:themeColor="text1" w:themeShade="80"/>
                <w:sz w:val="22"/>
                <w:szCs w:val="22"/>
              </w:rPr>
            </w:pPr>
            <w:r w:rsidRPr="009F3FDA">
              <w:rPr>
                <w:rFonts w:cs="Calibri"/>
                <w:bCs/>
                <w:color w:val="0F1E3C" w:themeColor="text1" w:themeShade="80"/>
                <w:sz w:val="22"/>
                <w:szCs w:val="22"/>
              </w:rPr>
              <w:t>59%</w:t>
            </w:r>
          </w:p>
        </w:tc>
        <w:tc>
          <w:tcPr>
            <w:tcW w:w="1980" w:type="dxa"/>
            <w:shd w:val="clear" w:color="auto" w:fill="auto"/>
          </w:tcPr>
          <w:p w14:paraId="7D71965F" w14:textId="77777777" w:rsidR="002475D1" w:rsidRPr="009F3FDA" w:rsidRDefault="002475D1" w:rsidP="003B4B6C">
            <w:pPr>
              <w:pStyle w:val="BodyTextafterheading"/>
              <w:spacing w:after="120"/>
              <w:jc w:val="center"/>
              <w:rPr>
                <w:rFonts w:cs="Calibri"/>
                <w:bCs/>
                <w:color w:val="0F1E3C" w:themeColor="text1" w:themeShade="80"/>
                <w:sz w:val="22"/>
                <w:szCs w:val="22"/>
              </w:rPr>
            </w:pPr>
            <w:r w:rsidRPr="009F3FDA">
              <w:rPr>
                <w:rFonts w:cs="Calibri"/>
                <w:bCs/>
                <w:color w:val="0F1E3C" w:themeColor="text1" w:themeShade="80"/>
                <w:sz w:val="22"/>
                <w:szCs w:val="22"/>
              </w:rPr>
              <w:t>82.44%</w:t>
            </w:r>
          </w:p>
        </w:tc>
      </w:tr>
      <w:tr w:rsidR="00153C14" w:rsidRPr="002475D1" w14:paraId="0FE5B630" w14:textId="77777777" w:rsidTr="007C3788">
        <w:tc>
          <w:tcPr>
            <w:tcW w:w="6655" w:type="dxa"/>
          </w:tcPr>
          <w:p w14:paraId="4274A0AE" w14:textId="77777777" w:rsidR="002475D1" w:rsidRPr="009F3FDA" w:rsidRDefault="002475D1" w:rsidP="003B4B6C">
            <w:pPr>
              <w:pStyle w:val="BodyTextafterheading"/>
              <w:spacing w:after="120"/>
              <w:rPr>
                <w:rFonts w:cs="Calibri"/>
                <w:bCs/>
                <w:color w:val="0D0D0D" w:themeColor="text2" w:themeTint="F2"/>
                <w:sz w:val="22"/>
                <w:szCs w:val="22"/>
              </w:rPr>
            </w:pPr>
            <w:r w:rsidRPr="009F3FDA">
              <w:rPr>
                <w:rFonts w:cs="Calibri"/>
                <w:bCs/>
                <w:color w:val="0D0D0D" w:themeColor="text2" w:themeTint="F2"/>
                <w:sz w:val="22"/>
                <w:szCs w:val="22"/>
              </w:rPr>
              <w:t>Child and Adolescent Suicide Risk Assessment</w:t>
            </w:r>
          </w:p>
        </w:tc>
        <w:tc>
          <w:tcPr>
            <w:tcW w:w="1350" w:type="dxa"/>
          </w:tcPr>
          <w:p w14:paraId="0F4515AC" w14:textId="77777777" w:rsidR="002475D1" w:rsidRPr="009F3FDA" w:rsidRDefault="002475D1" w:rsidP="003B4B6C">
            <w:pPr>
              <w:pStyle w:val="BodyTextafterheading"/>
              <w:spacing w:after="120"/>
              <w:jc w:val="center"/>
              <w:rPr>
                <w:rFonts w:cs="Calibri"/>
                <w:bCs/>
                <w:color w:val="000000"/>
                <w:sz w:val="22"/>
                <w:szCs w:val="22"/>
              </w:rPr>
            </w:pPr>
            <w:r w:rsidRPr="009F3FDA">
              <w:rPr>
                <w:rFonts w:cs="Calibri"/>
                <w:bCs/>
                <w:color w:val="000000"/>
                <w:sz w:val="22"/>
                <w:szCs w:val="22"/>
              </w:rPr>
              <w:t>DPP BHS</w:t>
            </w:r>
          </w:p>
        </w:tc>
        <w:tc>
          <w:tcPr>
            <w:tcW w:w="1440" w:type="dxa"/>
          </w:tcPr>
          <w:p w14:paraId="685D0E85" w14:textId="77777777" w:rsidR="002475D1" w:rsidRPr="009F3FDA" w:rsidRDefault="002475D1" w:rsidP="003B4B6C">
            <w:pPr>
              <w:pStyle w:val="BodyTextafterheading"/>
              <w:spacing w:after="120"/>
              <w:jc w:val="center"/>
              <w:rPr>
                <w:rFonts w:cs="Calibri"/>
                <w:bCs/>
                <w:color w:val="000000"/>
                <w:sz w:val="22"/>
                <w:szCs w:val="22"/>
              </w:rPr>
            </w:pPr>
            <w:r w:rsidRPr="009F3FDA">
              <w:rPr>
                <w:rFonts w:cs="Calibri"/>
                <w:bCs/>
                <w:color w:val="000000"/>
                <w:sz w:val="22"/>
                <w:szCs w:val="22"/>
              </w:rPr>
              <w:t>73.33%</w:t>
            </w:r>
          </w:p>
        </w:tc>
        <w:tc>
          <w:tcPr>
            <w:tcW w:w="1440" w:type="dxa"/>
            <w:shd w:val="clear" w:color="auto" w:fill="F4CCCD" w:themeFill="accent2" w:themeFillTint="33"/>
          </w:tcPr>
          <w:p w14:paraId="5502F682" w14:textId="77777777" w:rsidR="002475D1" w:rsidRPr="009F3FDA" w:rsidRDefault="002475D1" w:rsidP="003B4B6C">
            <w:pPr>
              <w:pStyle w:val="BodyTextafterheading"/>
              <w:spacing w:after="120"/>
              <w:jc w:val="center"/>
              <w:rPr>
                <w:bCs/>
                <w:sz w:val="22"/>
                <w:szCs w:val="22"/>
              </w:rPr>
            </w:pPr>
            <w:r w:rsidRPr="009F3FDA">
              <w:rPr>
                <w:bCs/>
                <w:sz w:val="22"/>
                <w:szCs w:val="22"/>
              </w:rPr>
              <w:t xml:space="preserve">63.76% </w:t>
            </w:r>
            <w:r w:rsidRPr="009F3FDA">
              <w:rPr>
                <w:bCs/>
                <w:color w:val="C00000"/>
                <w:sz w:val="22"/>
                <w:szCs w:val="22"/>
              </w:rPr>
              <w:sym w:font="Symbol" w:char="F0AF"/>
            </w:r>
          </w:p>
        </w:tc>
        <w:tc>
          <w:tcPr>
            <w:tcW w:w="1440" w:type="dxa"/>
          </w:tcPr>
          <w:p w14:paraId="6DB7AC2B" w14:textId="77777777" w:rsidR="002475D1" w:rsidRPr="009F3FDA" w:rsidRDefault="002475D1" w:rsidP="003B4B6C">
            <w:pPr>
              <w:pStyle w:val="BodyTextafterheading"/>
              <w:spacing w:after="120"/>
              <w:jc w:val="center"/>
              <w:rPr>
                <w:rFonts w:cs="Calibri"/>
                <w:bCs/>
                <w:color w:val="000000"/>
                <w:sz w:val="22"/>
                <w:szCs w:val="22"/>
              </w:rPr>
            </w:pPr>
            <w:r w:rsidRPr="009F3FDA">
              <w:rPr>
                <w:rFonts w:cs="Calibri"/>
                <w:bCs/>
                <w:color w:val="000000"/>
                <w:sz w:val="22"/>
                <w:szCs w:val="22"/>
              </w:rPr>
              <w:t>59%</w:t>
            </w:r>
          </w:p>
        </w:tc>
        <w:tc>
          <w:tcPr>
            <w:tcW w:w="1980" w:type="dxa"/>
            <w:shd w:val="clear" w:color="auto" w:fill="auto"/>
          </w:tcPr>
          <w:p w14:paraId="3A54F0BF" w14:textId="77777777" w:rsidR="002475D1" w:rsidRPr="009F3FDA" w:rsidRDefault="002475D1" w:rsidP="003B4B6C">
            <w:pPr>
              <w:pStyle w:val="BodyTextafterheading"/>
              <w:spacing w:after="120"/>
              <w:jc w:val="center"/>
              <w:rPr>
                <w:rFonts w:cs="Calibri"/>
                <w:bCs/>
                <w:color w:val="000000"/>
                <w:sz w:val="22"/>
                <w:szCs w:val="22"/>
              </w:rPr>
            </w:pPr>
            <w:r w:rsidRPr="009F3FDA">
              <w:rPr>
                <w:rFonts w:cs="Calibri"/>
                <w:bCs/>
                <w:color w:val="000000"/>
                <w:sz w:val="22"/>
                <w:szCs w:val="22"/>
              </w:rPr>
              <w:t>79.82%</w:t>
            </w:r>
          </w:p>
        </w:tc>
      </w:tr>
      <w:tr w:rsidR="00153C14" w:rsidRPr="002475D1" w14:paraId="39A81401" w14:textId="77777777" w:rsidTr="007C3788">
        <w:tc>
          <w:tcPr>
            <w:tcW w:w="6655" w:type="dxa"/>
          </w:tcPr>
          <w:p w14:paraId="3244F005" w14:textId="77777777" w:rsidR="002475D1" w:rsidRPr="009F3FDA" w:rsidRDefault="002475D1" w:rsidP="003B4B6C">
            <w:pPr>
              <w:pStyle w:val="BodyTextafterheading"/>
              <w:spacing w:after="120"/>
              <w:rPr>
                <w:rFonts w:cs="Calibri"/>
                <w:bCs/>
                <w:color w:val="0D0D0D" w:themeColor="text2" w:themeTint="F2"/>
                <w:sz w:val="22"/>
                <w:szCs w:val="22"/>
              </w:rPr>
            </w:pPr>
            <w:r w:rsidRPr="009F3FDA">
              <w:rPr>
                <w:rFonts w:cs="Calibri"/>
                <w:bCs/>
                <w:color w:val="0D0D0D" w:themeColor="text2" w:themeTint="F2"/>
                <w:sz w:val="22"/>
                <w:szCs w:val="22"/>
              </w:rPr>
              <w:t>Adult Suicide Risk Assessment</w:t>
            </w:r>
          </w:p>
        </w:tc>
        <w:tc>
          <w:tcPr>
            <w:tcW w:w="1350" w:type="dxa"/>
          </w:tcPr>
          <w:p w14:paraId="19B8C46A" w14:textId="77777777" w:rsidR="002475D1" w:rsidRPr="009F3FDA" w:rsidRDefault="002475D1" w:rsidP="003B4B6C">
            <w:pPr>
              <w:pStyle w:val="BodyTextafterheading"/>
              <w:spacing w:after="120"/>
              <w:jc w:val="center"/>
              <w:rPr>
                <w:rFonts w:cs="Calibri"/>
                <w:bCs/>
                <w:color w:val="000000"/>
                <w:sz w:val="22"/>
                <w:szCs w:val="22"/>
              </w:rPr>
            </w:pPr>
            <w:r w:rsidRPr="009F3FDA">
              <w:rPr>
                <w:rFonts w:cs="Calibri"/>
                <w:bCs/>
                <w:color w:val="000000"/>
                <w:sz w:val="22"/>
                <w:szCs w:val="22"/>
              </w:rPr>
              <w:t>DPP BHS</w:t>
            </w:r>
          </w:p>
        </w:tc>
        <w:tc>
          <w:tcPr>
            <w:tcW w:w="1440" w:type="dxa"/>
          </w:tcPr>
          <w:p w14:paraId="6053CCC1" w14:textId="77777777" w:rsidR="002475D1" w:rsidRPr="009F3FDA" w:rsidRDefault="002475D1" w:rsidP="003B4B6C">
            <w:pPr>
              <w:pStyle w:val="BodyTextafterheading"/>
              <w:spacing w:after="120"/>
              <w:jc w:val="center"/>
              <w:rPr>
                <w:rFonts w:cs="Calibri"/>
                <w:bCs/>
                <w:color w:val="000000"/>
                <w:sz w:val="22"/>
                <w:szCs w:val="22"/>
              </w:rPr>
            </w:pPr>
            <w:r w:rsidRPr="009F3FDA">
              <w:rPr>
                <w:rFonts w:cs="Calibri"/>
                <w:bCs/>
                <w:color w:val="000000"/>
                <w:sz w:val="22"/>
                <w:szCs w:val="22"/>
              </w:rPr>
              <w:t>74.49%</w:t>
            </w:r>
          </w:p>
        </w:tc>
        <w:tc>
          <w:tcPr>
            <w:tcW w:w="1440" w:type="dxa"/>
            <w:shd w:val="clear" w:color="auto" w:fill="E1F2DA" w:themeFill="accent3" w:themeFillTint="33"/>
          </w:tcPr>
          <w:p w14:paraId="09E2F570" w14:textId="77777777" w:rsidR="002475D1" w:rsidRPr="009F3FDA" w:rsidRDefault="002475D1" w:rsidP="003B4B6C">
            <w:pPr>
              <w:pStyle w:val="BodyTextafterheading"/>
              <w:spacing w:after="120"/>
              <w:jc w:val="center"/>
              <w:rPr>
                <w:bCs/>
                <w:sz w:val="22"/>
                <w:szCs w:val="22"/>
              </w:rPr>
            </w:pPr>
            <w:r w:rsidRPr="009F3FDA">
              <w:rPr>
                <w:bCs/>
                <w:sz w:val="22"/>
                <w:szCs w:val="22"/>
              </w:rPr>
              <w:t xml:space="preserve">86.63% </w:t>
            </w:r>
            <w:r w:rsidRPr="009F3FDA">
              <w:rPr>
                <w:rFonts w:cs="Calibri"/>
                <w:bCs/>
                <w:color w:val="00B050"/>
                <w:sz w:val="22"/>
                <w:szCs w:val="22"/>
              </w:rPr>
              <w:sym w:font="Symbol" w:char="F0AD"/>
            </w:r>
          </w:p>
        </w:tc>
        <w:tc>
          <w:tcPr>
            <w:tcW w:w="1440" w:type="dxa"/>
          </w:tcPr>
          <w:p w14:paraId="62EE7DB0" w14:textId="77777777" w:rsidR="002475D1" w:rsidRPr="009F3FDA" w:rsidRDefault="002475D1" w:rsidP="003B4B6C">
            <w:pPr>
              <w:pStyle w:val="BodyTextafterheading"/>
              <w:spacing w:after="120"/>
              <w:jc w:val="center"/>
              <w:rPr>
                <w:rFonts w:cs="Calibri"/>
                <w:bCs/>
                <w:color w:val="000000"/>
                <w:sz w:val="22"/>
                <w:szCs w:val="22"/>
              </w:rPr>
            </w:pPr>
            <w:r w:rsidRPr="009F3FDA">
              <w:rPr>
                <w:rFonts w:cs="Calibri"/>
                <w:bCs/>
                <w:color w:val="000000"/>
                <w:sz w:val="22"/>
                <w:szCs w:val="22"/>
              </w:rPr>
              <w:t>56%</w:t>
            </w:r>
          </w:p>
        </w:tc>
        <w:tc>
          <w:tcPr>
            <w:tcW w:w="1980" w:type="dxa"/>
            <w:shd w:val="clear" w:color="auto" w:fill="auto"/>
          </w:tcPr>
          <w:p w14:paraId="7258A506" w14:textId="77777777" w:rsidR="002475D1" w:rsidRPr="009F3FDA" w:rsidRDefault="002475D1" w:rsidP="003B4B6C">
            <w:pPr>
              <w:pStyle w:val="BodyTextafterheading"/>
              <w:spacing w:after="120"/>
              <w:jc w:val="center"/>
              <w:rPr>
                <w:rFonts w:cs="Calibri"/>
                <w:bCs/>
                <w:color w:val="000000"/>
                <w:sz w:val="22"/>
                <w:szCs w:val="22"/>
              </w:rPr>
            </w:pPr>
            <w:r w:rsidRPr="009F3FDA">
              <w:rPr>
                <w:rFonts w:cs="Calibri"/>
                <w:bCs/>
                <w:color w:val="000000"/>
                <w:sz w:val="22"/>
                <w:szCs w:val="22"/>
              </w:rPr>
              <w:t>87.14%</w:t>
            </w:r>
          </w:p>
        </w:tc>
      </w:tr>
      <w:tr w:rsidR="00153C14" w:rsidRPr="002475D1" w14:paraId="0DCF2947" w14:textId="77777777" w:rsidTr="007C3788">
        <w:tc>
          <w:tcPr>
            <w:tcW w:w="6655" w:type="dxa"/>
          </w:tcPr>
          <w:p w14:paraId="4F52AED7" w14:textId="77777777" w:rsidR="002475D1" w:rsidRPr="009F3FDA" w:rsidRDefault="002475D1" w:rsidP="003B4B6C">
            <w:pPr>
              <w:pStyle w:val="BodyTextafterheading"/>
              <w:spacing w:after="120"/>
              <w:rPr>
                <w:rFonts w:cs="Calibri"/>
                <w:bCs/>
                <w:color w:val="0D0D0D" w:themeColor="text2" w:themeTint="F2"/>
                <w:sz w:val="22"/>
                <w:szCs w:val="22"/>
              </w:rPr>
            </w:pPr>
            <w:r w:rsidRPr="009F3FDA">
              <w:rPr>
                <w:rFonts w:cs="Calibri"/>
                <w:bCs/>
                <w:color w:val="0D0D0D" w:themeColor="text2" w:themeTint="F2"/>
                <w:sz w:val="22"/>
                <w:szCs w:val="22"/>
              </w:rPr>
              <w:t>Follow-Up After Hospitalization for Mental Illness 7-Day</w:t>
            </w:r>
          </w:p>
        </w:tc>
        <w:tc>
          <w:tcPr>
            <w:tcW w:w="1350" w:type="dxa"/>
          </w:tcPr>
          <w:p w14:paraId="320A4792" w14:textId="77777777" w:rsidR="002475D1" w:rsidRPr="009F3FDA" w:rsidRDefault="002475D1" w:rsidP="003B4B6C">
            <w:pPr>
              <w:pStyle w:val="BodyTextafterheading"/>
              <w:spacing w:after="120"/>
              <w:jc w:val="center"/>
              <w:rPr>
                <w:rFonts w:cs="Calibri"/>
                <w:bCs/>
                <w:color w:val="000000"/>
                <w:sz w:val="22"/>
                <w:szCs w:val="22"/>
              </w:rPr>
            </w:pPr>
            <w:r w:rsidRPr="009F3FDA">
              <w:rPr>
                <w:rFonts w:cs="Calibri"/>
                <w:bCs/>
                <w:color w:val="000000"/>
                <w:sz w:val="22"/>
                <w:szCs w:val="22"/>
              </w:rPr>
              <w:t>DPP BHS</w:t>
            </w:r>
          </w:p>
        </w:tc>
        <w:tc>
          <w:tcPr>
            <w:tcW w:w="1440" w:type="dxa"/>
          </w:tcPr>
          <w:p w14:paraId="4F68813B" w14:textId="77777777" w:rsidR="002475D1" w:rsidRPr="009F3FDA" w:rsidRDefault="002475D1" w:rsidP="003B4B6C">
            <w:pPr>
              <w:pStyle w:val="BodyTextafterheading"/>
              <w:spacing w:after="120"/>
              <w:jc w:val="center"/>
              <w:rPr>
                <w:rFonts w:cs="Calibri"/>
                <w:bCs/>
                <w:color w:val="000000"/>
                <w:sz w:val="22"/>
                <w:szCs w:val="22"/>
              </w:rPr>
            </w:pPr>
            <w:r w:rsidRPr="009F3FDA">
              <w:rPr>
                <w:rFonts w:cs="Calibri"/>
                <w:bCs/>
                <w:color w:val="000000"/>
                <w:sz w:val="22"/>
                <w:szCs w:val="22"/>
              </w:rPr>
              <w:t>75.00%</w:t>
            </w:r>
          </w:p>
        </w:tc>
        <w:tc>
          <w:tcPr>
            <w:tcW w:w="1440" w:type="dxa"/>
          </w:tcPr>
          <w:p w14:paraId="7732A26D" w14:textId="77777777" w:rsidR="002475D1" w:rsidRPr="009F3FDA" w:rsidRDefault="002475D1" w:rsidP="003B4B6C">
            <w:pPr>
              <w:pStyle w:val="BodyTextafterheading"/>
              <w:spacing w:after="120"/>
              <w:jc w:val="center"/>
              <w:rPr>
                <w:bCs/>
                <w:sz w:val="22"/>
                <w:szCs w:val="22"/>
              </w:rPr>
            </w:pPr>
            <w:r w:rsidRPr="009F3FDA">
              <w:rPr>
                <w:bCs/>
                <w:sz w:val="22"/>
                <w:szCs w:val="22"/>
              </w:rPr>
              <w:t xml:space="preserve">75.00% </w:t>
            </w:r>
            <w:r w:rsidRPr="009F3FDA">
              <w:rPr>
                <w:bCs/>
                <w:sz w:val="22"/>
                <w:szCs w:val="22"/>
              </w:rPr>
              <w:sym w:font="Symbol" w:char="F0AB"/>
            </w:r>
          </w:p>
        </w:tc>
        <w:tc>
          <w:tcPr>
            <w:tcW w:w="1440" w:type="dxa"/>
          </w:tcPr>
          <w:p w14:paraId="6C8E224F" w14:textId="77777777" w:rsidR="002475D1" w:rsidRPr="009F3FDA" w:rsidRDefault="002475D1" w:rsidP="003B4B6C">
            <w:pPr>
              <w:pStyle w:val="BodyTextafterheading"/>
              <w:spacing w:after="120"/>
              <w:jc w:val="center"/>
              <w:rPr>
                <w:rFonts w:cs="Calibri"/>
                <w:bCs/>
                <w:color w:val="000000"/>
                <w:sz w:val="22"/>
                <w:szCs w:val="22"/>
              </w:rPr>
            </w:pPr>
            <w:r w:rsidRPr="009F3FDA">
              <w:rPr>
                <w:rFonts w:cs="Calibri"/>
                <w:bCs/>
                <w:color w:val="000000"/>
                <w:sz w:val="22"/>
                <w:szCs w:val="22"/>
              </w:rPr>
              <w:t>55%</w:t>
            </w:r>
          </w:p>
        </w:tc>
        <w:tc>
          <w:tcPr>
            <w:tcW w:w="1980" w:type="dxa"/>
            <w:shd w:val="clear" w:color="auto" w:fill="auto"/>
          </w:tcPr>
          <w:p w14:paraId="23C73480" w14:textId="77777777" w:rsidR="002475D1" w:rsidRPr="009F3FDA" w:rsidRDefault="002475D1" w:rsidP="003B4B6C">
            <w:pPr>
              <w:pStyle w:val="BodyTextafterheading"/>
              <w:spacing w:after="120"/>
              <w:jc w:val="center"/>
              <w:rPr>
                <w:rFonts w:cs="Calibri"/>
                <w:bCs/>
                <w:color w:val="000000"/>
                <w:sz w:val="22"/>
                <w:szCs w:val="22"/>
              </w:rPr>
            </w:pPr>
            <w:r w:rsidRPr="009F3FDA">
              <w:rPr>
                <w:rFonts w:cs="Calibri"/>
                <w:bCs/>
                <w:color w:val="000000"/>
                <w:sz w:val="22"/>
                <w:szCs w:val="22"/>
              </w:rPr>
              <w:t>85.71%</w:t>
            </w:r>
          </w:p>
        </w:tc>
      </w:tr>
      <w:tr w:rsidR="00153C14" w:rsidRPr="002475D1" w14:paraId="4A845710" w14:textId="77777777" w:rsidTr="007C3788">
        <w:tc>
          <w:tcPr>
            <w:tcW w:w="6655" w:type="dxa"/>
          </w:tcPr>
          <w:p w14:paraId="28E437DF" w14:textId="77777777" w:rsidR="002475D1" w:rsidRPr="009F3FDA" w:rsidRDefault="002475D1" w:rsidP="003B4B6C">
            <w:pPr>
              <w:pStyle w:val="BodyTextafterheading"/>
              <w:spacing w:after="120"/>
              <w:rPr>
                <w:bCs/>
                <w:color w:val="0D0D0D" w:themeColor="text2" w:themeTint="F2"/>
                <w:sz w:val="22"/>
                <w:szCs w:val="22"/>
              </w:rPr>
            </w:pPr>
            <w:r w:rsidRPr="009F3FDA">
              <w:rPr>
                <w:rFonts w:cs="Calibri"/>
                <w:bCs/>
                <w:color w:val="0D0D0D" w:themeColor="text2" w:themeTint="F2"/>
                <w:sz w:val="22"/>
                <w:szCs w:val="22"/>
              </w:rPr>
              <w:t>Follow-Up After Hospitalization for Mental Illness 30-Day</w:t>
            </w:r>
          </w:p>
        </w:tc>
        <w:tc>
          <w:tcPr>
            <w:tcW w:w="1350" w:type="dxa"/>
          </w:tcPr>
          <w:p w14:paraId="56401BBC" w14:textId="77777777" w:rsidR="002475D1" w:rsidRPr="009F3FDA" w:rsidRDefault="002475D1" w:rsidP="003B4B6C">
            <w:pPr>
              <w:pStyle w:val="BodyTextafterheading"/>
              <w:spacing w:after="120"/>
              <w:jc w:val="center"/>
              <w:rPr>
                <w:bCs/>
                <w:sz w:val="22"/>
                <w:szCs w:val="22"/>
              </w:rPr>
            </w:pPr>
            <w:r w:rsidRPr="009F3FDA">
              <w:rPr>
                <w:rFonts w:cs="Calibri"/>
                <w:bCs/>
                <w:color w:val="000000"/>
                <w:sz w:val="22"/>
                <w:szCs w:val="22"/>
              </w:rPr>
              <w:t>DPP BHS</w:t>
            </w:r>
          </w:p>
        </w:tc>
        <w:tc>
          <w:tcPr>
            <w:tcW w:w="1440" w:type="dxa"/>
          </w:tcPr>
          <w:p w14:paraId="7474DE33" w14:textId="77777777" w:rsidR="002475D1" w:rsidRPr="009F3FDA" w:rsidRDefault="002475D1" w:rsidP="003B4B6C">
            <w:pPr>
              <w:pStyle w:val="BodyTextafterheading"/>
              <w:spacing w:after="120"/>
              <w:jc w:val="center"/>
              <w:rPr>
                <w:bCs/>
                <w:sz w:val="22"/>
                <w:szCs w:val="22"/>
              </w:rPr>
            </w:pPr>
            <w:r w:rsidRPr="009F3FDA">
              <w:rPr>
                <w:bCs/>
                <w:sz w:val="22"/>
                <w:szCs w:val="22"/>
              </w:rPr>
              <w:t>88.64%</w:t>
            </w:r>
          </w:p>
        </w:tc>
        <w:tc>
          <w:tcPr>
            <w:tcW w:w="1440" w:type="dxa"/>
            <w:shd w:val="clear" w:color="auto" w:fill="E1F2DA" w:themeFill="accent3" w:themeFillTint="33"/>
          </w:tcPr>
          <w:p w14:paraId="427D41BD" w14:textId="77777777" w:rsidR="002475D1" w:rsidRPr="009F3FDA" w:rsidRDefault="002475D1" w:rsidP="003B4B6C">
            <w:pPr>
              <w:pStyle w:val="BodyTextafterheading"/>
              <w:spacing w:after="120"/>
              <w:jc w:val="center"/>
              <w:rPr>
                <w:bCs/>
                <w:sz w:val="22"/>
                <w:szCs w:val="22"/>
              </w:rPr>
            </w:pPr>
            <w:r w:rsidRPr="009F3FDA">
              <w:rPr>
                <w:bCs/>
                <w:sz w:val="22"/>
                <w:szCs w:val="22"/>
              </w:rPr>
              <w:t xml:space="preserve">94.12% </w:t>
            </w:r>
            <w:r w:rsidRPr="009F3FDA">
              <w:rPr>
                <w:rFonts w:cs="Calibri"/>
                <w:bCs/>
                <w:color w:val="00B050"/>
                <w:sz w:val="22"/>
                <w:szCs w:val="22"/>
              </w:rPr>
              <w:sym w:font="Symbol" w:char="F0AD"/>
            </w:r>
          </w:p>
        </w:tc>
        <w:tc>
          <w:tcPr>
            <w:tcW w:w="1440" w:type="dxa"/>
          </w:tcPr>
          <w:p w14:paraId="5A4FC933" w14:textId="77777777" w:rsidR="002475D1" w:rsidRPr="009F3FDA" w:rsidRDefault="002475D1" w:rsidP="003B4B6C">
            <w:pPr>
              <w:pStyle w:val="BodyTextafterheading"/>
              <w:spacing w:after="120"/>
              <w:jc w:val="center"/>
              <w:rPr>
                <w:bCs/>
                <w:sz w:val="22"/>
                <w:szCs w:val="22"/>
              </w:rPr>
            </w:pPr>
            <w:r w:rsidRPr="009F3FDA">
              <w:rPr>
                <w:bCs/>
                <w:sz w:val="22"/>
                <w:szCs w:val="22"/>
              </w:rPr>
              <w:t>70%</w:t>
            </w:r>
          </w:p>
        </w:tc>
        <w:tc>
          <w:tcPr>
            <w:tcW w:w="1980" w:type="dxa"/>
            <w:shd w:val="clear" w:color="auto" w:fill="auto"/>
          </w:tcPr>
          <w:p w14:paraId="41E685B0" w14:textId="77777777" w:rsidR="002475D1" w:rsidRPr="009F3FDA" w:rsidRDefault="002475D1" w:rsidP="003B4B6C">
            <w:pPr>
              <w:pStyle w:val="BodyTextafterheading"/>
              <w:spacing w:after="120"/>
              <w:jc w:val="center"/>
              <w:rPr>
                <w:bCs/>
                <w:sz w:val="22"/>
                <w:szCs w:val="22"/>
              </w:rPr>
            </w:pPr>
            <w:r w:rsidRPr="009F3FDA">
              <w:rPr>
                <w:bCs/>
                <w:sz w:val="22"/>
                <w:szCs w:val="22"/>
              </w:rPr>
              <w:t>96.97%</w:t>
            </w:r>
          </w:p>
        </w:tc>
      </w:tr>
    </w:tbl>
    <w:p w14:paraId="29F54CA7" w14:textId="447D36C8" w:rsidR="006A7202" w:rsidRDefault="009F3FDA" w:rsidP="006A7202">
      <w:pPr>
        <w:pStyle w:val="Heading1"/>
        <w:numPr>
          <w:ilvl w:val="0"/>
          <w:numId w:val="0"/>
        </w:numPr>
        <w:tabs>
          <w:tab w:val="left" w:pos="360"/>
        </w:tabs>
        <w:ind w:left="360" w:hanging="360"/>
      </w:pPr>
      <w:bookmarkStart w:id="525" w:name="_Toc156487103"/>
      <w:bookmarkStart w:id="526" w:name="_Toc157413990"/>
      <w:bookmarkEnd w:id="522"/>
      <w:r>
        <w:rPr>
          <w:noProof/>
        </w:rPr>
        <w:lastRenderedPageBreak/>
        <w:drawing>
          <wp:anchor distT="0" distB="0" distL="114300" distR="114300" simplePos="0" relativeHeight="251658244" behindDoc="0" locked="0" layoutInCell="1" allowOverlap="1" wp14:anchorId="6C97FDDA" wp14:editId="12AB69FB">
            <wp:simplePos x="0" y="0"/>
            <wp:positionH relativeFrom="margin">
              <wp:align>center</wp:align>
            </wp:positionH>
            <wp:positionV relativeFrom="paragraph">
              <wp:posOffset>751205</wp:posOffset>
            </wp:positionV>
            <wp:extent cx="9933693" cy="5763895"/>
            <wp:effectExtent l="0" t="0" r="0" b="8255"/>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9933693" cy="5763895"/>
                    </a:xfrm>
                    <a:prstGeom prst="rect">
                      <a:avLst/>
                    </a:prstGeom>
                  </pic:spPr>
                </pic:pic>
              </a:graphicData>
            </a:graphic>
            <wp14:sizeRelH relativeFrom="margin">
              <wp14:pctWidth>0</wp14:pctWidth>
            </wp14:sizeRelH>
            <wp14:sizeRelV relativeFrom="margin">
              <wp14:pctHeight>0</wp14:pctHeight>
            </wp14:sizeRelV>
          </wp:anchor>
        </w:drawing>
      </w:r>
      <w:r w:rsidR="006A7202">
        <w:t>Appendix D: DPP Quality Objective Scorecard – October 2023</w:t>
      </w:r>
      <w:bookmarkEnd w:id="525"/>
      <w:bookmarkEnd w:id="526"/>
    </w:p>
    <w:p w14:paraId="20BD5815" w14:textId="0130B430" w:rsidR="005C2FED" w:rsidRDefault="005C2FED" w:rsidP="00153C14">
      <w:pPr>
        <w:pStyle w:val="Heading2"/>
      </w:pPr>
    </w:p>
    <w:p w14:paraId="24F98B8C" w14:textId="77777777" w:rsidR="006A7202" w:rsidRPr="006A7202" w:rsidRDefault="006A7202" w:rsidP="006A7202">
      <w:pPr>
        <w:pStyle w:val="BodyTextafterheading"/>
      </w:pPr>
    </w:p>
    <w:sectPr w:rsidR="006A7202" w:rsidRPr="006A7202" w:rsidSect="003B09DD">
      <w:pgSz w:w="15840" w:h="12240" w:orient="landscape"/>
      <w:pgMar w:top="720" w:right="720" w:bottom="720" w:left="720" w:header="202"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85CF9B" w14:textId="77777777" w:rsidR="00CD68B9" w:rsidRDefault="00CD68B9" w:rsidP="005C02F5">
      <w:pPr>
        <w:spacing w:line="240" w:lineRule="auto"/>
      </w:pPr>
      <w:r>
        <w:separator/>
      </w:r>
    </w:p>
  </w:endnote>
  <w:endnote w:type="continuationSeparator" w:id="0">
    <w:p w14:paraId="59FCCEFE" w14:textId="77777777" w:rsidR="00CD68B9" w:rsidRDefault="00CD68B9" w:rsidP="005C02F5">
      <w:pPr>
        <w:spacing w:line="240" w:lineRule="auto"/>
      </w:pPr>
      <w:r>
        <w:continuationSeparator/>
      </w:r>
    </w:p>
  </w:endnote>
  <w:endnote w:type="continuationNotice" w:id="1">
    <w:p w14:paraId="0B470E89" w14:textId="77777777" w:rsidR="00CD68B9" w:rsidRDefault="00CD68B9">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Rockwell">
    <w:panose1 w:val="02060603020205020403"/>
    <w:charset w:val="00"/>
    <w:family w:val="roman"/>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Segoe UI Semibold">
    <w:panose1 w:val="020B0702040204020203"/>
    <w:charset w:val="00"/>
    <w:family w:val="swiss"/>
    <w:pitch w:val="variable"/>
    <w:sig w:usb0="E4002EFF" w:usb1="C000E47F"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inion Pro">
    <w:altName w:val="Times New Roman"/>
    <w:charset w:val="00"/>
    <w:family w:val="roman"/>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03585816"/>
      <w:docPartObj>
        <w:docPartGallery w:val="Page Numbers (Bottom of Page)"/>
        <w:docPartUnique/>
      </w:docPartObj>
    </w:sdtPr>
    <w:sdtEndPr>
      <w:rPr>
        <w:noProof/>
      </w:rPr>
    </w:sdtEndPr>
    <w:sdtContent>
      <w:p w14:paraId="5657B141" w14:textId="77777777" w:rsidR="004C083A" w:rsidRDefault="004C083A">
        <w:pPr>
          <w:pStyle w:val="Footer"/>
          <w:jc w:val="right"/>
        </w:pPr>
        <w:r>
          <w:fldChar w:fldCharType="begin"/>
        </w:r>
        <w:r>
          <w:instrText xml:space="preserve"> PAGE   \* MERGEFORMAT </w:instrText>
        </w:r>
        <w:r>
          <w:fldChar w:fldCharType="separate"/>
        </w:r>
        <w:r>
          <w:rPr>
            <w:noProof/>
          </w:rPr>
          <w:t>ii</w:t>
        </w:r>
        <w:r>
          <w:rPr>
            <w:noProof/>
          </w:rPr>
          <w:fldChar w:fldCharType="end"/>
        </w:r>
      </w:p>
    </w:sdtContent>
  </w:sdt>
  <w:p w14:paraId="7D37E739" w14:textId="77777777" w:rsidR="004C083A" w:rsidRDefault="004C083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9579363"/>
      <w:docPartObj>
        <w:docPartGallery w:val="Page Numbers (Bottom of Page)"/>
        <w:docPartUnique/>
      </w:docPartObj>
    </w:sdtPr>
    <w:sdtEndPr>
      <w:rPr>
        <w:noProof/>
      </w:rPr>
    </w:sdtEndPr>
    <w:sdtContent>
      <w:p w14:paraId="1119DDFC" w14:textId="77777777" w:rsidR="004C083A" w:rsidRDefault="004C083A" w:rsidP="00184BFC">
        <w:pPr>
          <w:pStyle w:val="Footer"/>
          <w:jc w:val="right"/>
        </w:pPr>
        <w:r>
          <w:fldChar w:fldCharType="begin"/>
        </w:r>
        <w:r>
          <w:instrText xml:space="preserve"> PAGE   \* MERGEFORMAT </w:instrText>
        </w:r>
        <w:r>
          <w:fldChar w:fldCharType="separate"/>
        </w:r>
        <w:r>
          <w:rPr>
            <w:noProof/>
          </w:rPr>
          <w:t>ii</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6604327"/>
      <w:docPartObj>
        <w:docPartGallery w:val="Page Numbers (Bottom of Page)"/>
        <w:docPartUnique/>
      </w:docPartObj>
    </w:sdtPr>
    <w:sdtEndPr>
      <w:rPr>
        <w:noProof/>
      </w:rPr>
    </w:sdtEndPr>
    <w:sdtContent>
      <w:p w14:paraId="3EF475AB" w14:textId="121D43EC" w:rsidR="004C083A" w:rsidRDefault="004C083A" w:rsidP="00184BFC">
        <w:pPr>
          <w:pStyle w:val="Footer"/>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E54389" w14:textId="77777777" w:rsidR="00CD68B9" w:rsidRDefault="00CD68B9" w:rsidP="005C02F5">
      <w:pPr>
        <w:spacing w:line="240" w:lineRule="auto"/>
      </w:pPr>
      <w:r>
        <w:separator/>
      </w:r>
    </w:p>
  </w:footnote>
  <w:footnote w:type="continuationSeparator" w:id="0">
    <w:p w14:paraId="7D494236" w14:textId="77777777" w:rsidR="00CD68B9" w:rsidRDefault="00CD68B9" w:rsidP="005C02F5">
      <w:pPr>
        <w:spacing w:line="240" w:lineRule="auto"/>
      </w:pPr>
      <w:r>
        <w:continuationSeparator/>
      </w:r>
    </w:p>
  </w:footnote>
  <w:footnote w:type="continuationNotice" w:id="1">
    <w:p w14:paraId="42035F21" w14:textId="77777777" w:rsidR="00CD68B9" w:rsidRDefault="00CD68B9">
      <w:pPr>
        <w:spacing w:before="0" w:line="240" w:lineRule="auto"/>
      </w:pPr>
    </w:p>
  </w:footnote>
  <w:footnote w:id="2">
    <w:p w14:paraId="77B761EF" w14:textId="77777777" w:rsidR="00075796" w:rsidRDefault="00075796" w:rsidP="00075796">
      <w:pPr>
        <w:pStyle w:val="FootnoteText"/>
        <w:spacing w:before="0"/>
      </w:pPr>
      <w:r w:rsidRPr="009467A6">
        <w:rPr>
          <w:rStyle w:val="FootnoteReference"/>
        </w:rPr>
        <w:footnoteRef/>
      </w:r>
      <w:r w:rsidRPr="009467A6">
        <w:t xml:space="preserve"> </w:t>
      </w:r>
      <w:hyperlink r:id="rId1" w:history="1">
        <w:r w:rsidRPr="00F84FFD">
          <w:rPr>
            <w:rStyle w:val="Hyperlink"/>
          </w:rPr>
          <w:t>2021 Texas Managed Care Quality Strategy</w:t>
        </w:r>
      </w:hyperlink>
      <w:r w:rsidRPr="00F84FFD">
        <w:t xml:space="preserve"> </w:t>
      </w:r>
    </w:p>
  </w:footnote>
  <w:footnote w:id="3">
    <w:p w14:paraId="0F565833" w14:textId="1FCCF812" w:rsidR="00FC4814" w:rsidRDefault="00FC4814" w:rsidP="00E771EA">
      <w:pPr>
        <w:pStyle w:val="FootnoteText"/>
        <w:spacing w:before="0"/>
      </w:pPr>
      <w:r>
        <w:rPr>
          <w:rStyle w:val="FootnoteReference"/>
        </w:rPr>
        <w:footnoteRef/>
      </w:r>
      <w:r>
        <w:t xml:space="preserve"> </w:t>
      </w:r>
      <w:r w:rsidR="002E0355" w:rsidRPr="00677515">
        <w:rPr>
          <w:sz w:val="18"/>
          <w:szCs w:val="18"/>
        </w:rPr>
        <w:t xml:space="preserve">“Structure Measures” provide a sense of a </w:t>
      </w:r>
      <w:r w:rsidR="002E0355" w:rsidRPr="002C2E57">
        <w:rPr>
          <w:sz w:val="18"/>
          <w:szCs w:val="18"/>
        </w:rPr>
        <w:t xml:space="preserve">health care organization’s capacity, infrastructure, and strategy for delivering evidence-based best practices for high quality care. </w:t>
      </w:r>
      <w:r w:rsidR="002E0355" w:rsidRPr="00677515">
        <w:rPr>
          <w:sz w:val="18"/>
          <w:szCs w:val="18"/>
        </w:rPr>
        <w:t>“Process Measures” indicate what a health care organization does to maintain or improve health, often reflecting generally accepted recommendations for clinical practice. “Outcome Measures” reflect the impact of the health care service or intervention on the health status of patients</w:t>
      </w:r>
      <w:r w:rsidR="002E0355" w:rsidRPr="002C2E57">
        <w:rPr>
          <w:sz w:val="18"/>
          <w:szCs w:val="18"/>
        </w:rPr>
        <w:t>.</w:t>
      </w:r>
      <w:r w:rsidR="002E0355">
        <w:rPr>
          <w:sz w:val="18"/>
          <w:szCs w:val="18"/>
        </w:rPr>
        <w:t xml:space="preserve"> </w:t>
      </w:r>
      <w:hyperlink r:id="rId2" w:history="1">
        <w:r w:rsidR="002E0355" w:rsidRPr="002E0355">
          <w:rPr>
            <w:rStyle w:val="Hyperlink"/>
            <w:sz w:val="18"/>
            <w:szCs w:val="18"/>
          </w:rPr>
          <w:t>AHRQ Talking Quality</w:t>
        </w:r>
      </w:hyperlink>
    </w:p>
  </w:footnote>
  <w:footnote w:id="4">
    <w:p w14:paraId="47A63529" w14:textId="32138A7E" w:rsidR="00E771EA" w:rsidRDefault="00E771EA" w:rsidP="00E771EA">
      <w:pPr>
        <w:pStyle w:val="FootnoteText"/>
        <w:spacing w:before="0"/>
      </w:pPr>
      <w:r>
        <w:rPr>
          <w:rStyle w:val="FootnoteReference"/>
        </w:rPr>
        <w:footnoteRef/>
      </w:r>
      <w:r>
        <w:t xml:space="preserve"> Provider-reported data </w:t>
      </w:r>
      <w:r w:rsidR="00727F4C">
        <w:t xml:space="preserve">are </w:t>
      </w:r>
      <w:r>
        <w:t xml:space="preserve">on the quality requirements site: </w:t>
      </w:r>
      <w:hyperlink r:id="rId3" w:history="1">
        <w:r w:rsidRPr="00E771EA">
          <w:rPr>
            <w:rStyle w:val="Hyperlink"/>
          </w:rPr>
          <w:t>CHIRP</w:t>
        </w:r>
      </w:hyperlink>
      <w:r>
        <w:t xml:space="preserve">, </w:t>
      </w:r>
      <w:hyperlink r:id="rId4" w:history="1">
        <w:r w:rsidRPr="00E771EA">
          <w:rPr>
            <w:rStyle w:val="Hyperlink"/>
          </w:rPr>
          <w:t>TIPPS</w:t>
        </w:r>
      </w:hyperlink>
      <w:r>
        <w:t xml:space="preserve">, </w:t>
      </w:r>
      <w:hyperlink r:id="rId5" w:history="1">
        <w:r w:rsidRPr="00E771EA">
          <w:rPr>
            <w:rStyle w:val="Hyperlink"/>
          </w:rPr>
          <w:t>RAPPS</w:t>
        </w:r>
      </w:hyperlink>
      <w:r>
        <w:t xml:space="preserve">, </w:t>
      </w:r>
      <w:hyperlink r:id="rId6" w:history="1">
        <w:r w:rsidRPr="00E771EA">
          <w:rPr>
            <w:rStyle w:val="Hyperlink"/>
          </w:rPr>
          <w:t>DPP BHS</w:t>
        </w:r>
      </w:hyperlink>
    </w:p>
  </w:footnote>
  <w:footnote w:id="5">
    <w:p w14:paraId="52088DAB" w14:textId="15B927EB" w:rsidR="002E0355" w:rsidRDefault="002E0355" w:rsidP="00E771EA">
      <w:pPr>
        <w:pStyle w:val="FootnoteText"/>
        <w:spacing w:before="0"/>
      </w:pPr>
      <w:r>
        <w:rPr>
          <w:rStyle w:val="FootnoteReference"/>
        </w:rPr>
        <w:footnoteRef/>
      </w:r>
      <w:r>
        <w:t xml:space="preserve"> </w:t>
      </w:r>
      <w:hyperlink r:id="rId7" w:history="1">
        <w:r w:rsidRPr="002E0355">
          <w:rPr>
            <w:rStyle w:val="Hyperlink"/>
          </w:rPr>
          <w:t>SFY</w:t>
        </w:r>
        <w:r w:rsidR="001A5E4E">
          <w:rPr>
            <w:rStyle w:val="Hyperlink"/>
          </w:rPr>
          <w:t xml:space="preserve"> </w:t>
        </w:r>
        <w:r w:rsidRPr="002E0355">
          <w:rPr>
            <w:rStyle w:val="Hyperlink"/>
          </w:rPr>
          <w:t>2022 Evaluation Plan for Four State Directed Payment Programs</w:t>
        </w:r>
      </w:hyperlink>
    </w:p>
  </w:footnote>
  <w:footnote w:id="6">
    <w:p w14:paraId="5D8F2737" w14:textId="13860B74" w:rsidR="002E0355" w:rsidRDefault="002E0355" w:rsidP="00E771EA">
      <w:pPr>
        <w:pStyle w:val="FootnoteText"/>
        <w:spacing w:before="0"/>
      </w:pPr>
      <w:r>
        <w:rPr>
          <w:rStyle w:val="FootnoteReference"/>
        </w:rPr>
        <w:footnoteRef/>
      </w:r>
      <w:r>
        <w:t xml:space="preserve"> </w:t>
      </w:r>
      <w:hyperlink r:id="rId8" w:history="1">
        <w:r w:rsidRPr="008C5470">
          <w:rPr>
            <w:rStyle w:val="Hyperlink"/>
          </w:rPr>
          <w:t>SFY</w:t>
        </w:r>
        <w:r w:rsidR="001A5E4E">
          <w:rPr>
            <w:rStyle w:val="Hyperlink"/>
          </w:rPr>
          <w:t xml:space="preserve"> </w:t>
        </w:r>
        <w:r w:rsidRPr="008C5470">
          <w:rPr>
            <w:rStyle w:val="Hyperlink"/>
          </w:rPr>
          <w:t>2023 Evaluation Plan for Four State Directed Payment Programs</w:t>
        </w:r>
      </w:hyperlink>
    </w:p>
  </w:footnote>
  <w:footnote w:id="7">
    <w:p w14:paraId="37BD34BD" w14:textId="48C929D0" w:rsidR="00B74CCE" w:rsidRDefault="00B74CCE" w:rsidP="00B74CCE">
      <w:pPr>
        <w:pStyle w:val="FootnoteText"/>
        <w:spacing w:before="0"/>
      </w:pPr>
      <w:r>
        <w:rPr>
          <w:rStyle w:val="FootnoteReference"/>
        </w:rPr>
        <w:footnoteRef/>
      </w:r>
      <w:r>
        <w:t xml:space="preserve"> </w:t>
      </w:r>
      <w:hyperlink r:id="rId9" w:history="1">
        <w:r w:rsidRPr="00B74CCE">
          <w:rPr>
            <w:rStyle w:val="Hyperlink"/>
          </w:rPr>
          <w:t>SFY</w:t>
        </w:r>
        <w:r w:rsidR="001A5E4E">
          <w:rPr>
            <w:rStyle w:val="Hyperlink"/>
          </w:rPr>
          <w:t xml:space="preserve"> </w:t>
        </w:r>
        <w:r w:rsidRPr="00B74CCE">
          <w:rPr>
            <w:rStyle w:val="Hyperlink"/>
          </w:rPr>
          <w:t>2024 Evaluation Plan for Four State Directed Payment Programs</w:t>
        </w:r>
      </w:hyperlink>
    </w:p>
  </w:footnote>
  <w:footnote w:id="8">
    <w:p w14:paraId="509DF312" w14:textId="77777777" w:rsidR="00FB1576" w:rsidRDefault="00FB1576" w:rsidP="00FB1576">
      <w:pPr>
        <w:pStyle w:val="FootnoteText"/>
      </w:pPr>
      <w:r>
        <w:rPr>
          <w:rStyle w:val="FootnoteReference"/>
        </w:rPr>
        <w:footnoteRef/>
      </w:r>
      <w:r>
        <w:t xml:space="preserve"> For adult and pediatric hospital safety outcome measures, hospitals will report a rate as specified for all-payer types.</w:t>
      </w:r>
    </w:p>
  </w:footnote>
  <w:footnote w:id="9">
    <w:p w14:paraId="43253F04" w14:textId="0EB1CFC3" w:rsidR="00FC4C3C" w:rsidRDefault="00FC4C3C">
      <w:pPr>
        <w:pStyle w:val="FootnoteText"/>
      </w:pPr>
      <w:r>
        <w:rPr>
          <w:rStyle w:val="FootnoteReference"/>
        </w:rPr>
        <w:footnoteRef/>
      </w:r>
      <w:r>
        <w:t xml:space="preserve"> </w:t>
      </w:r>
      <w:hyperlink r:id="rId10" w:history="1">
        <w:r w:rsidRPr="00FC4C3C">
          <w:rPr>
            <w:rStyle w:val="Hyperlink"/>
          </w:rPr>
          <w:t xml:space="preserve">3M™ Population-focused </w:t>
        </w:r>
        <w:r w:rsidRPr="00FC4C3C">
          <w:rPr>
            <w:rStyle w:val="Hyperlink"/>
          </w:rPr>
          <w:t>Preventables (PFP) Classification System Methodology Overview</w:t>
        </w:r>
      </w:hyperlink>
    </w:p>
  </w:footnote>
  <w:footnote w:id="10">
    <w:p w14:paraId="0F9A8B9B" w14:textId="3B0F4569" w:rsidR="009503CF" w:rsidRDefault="009503CF" w:rsidP="009503CF">
      <w:pPr>
        <w:pStyle w:val="FootnoteText"/>
      </w:pPr>
      <w:r>
        <w:rPr>
          <w:rStyle w:val="FootnoteReference"/>
        </w:rPr>
        <w:footnoteRef/>
      </w:r>
      <w:r>
        <w:t xml:space="preserve"> </w:t>
      </w:r>
      <w:hyperlink r:id="rId11" w:history="1">
        <w:r w:rsidR="00BD5982" w:rsidRPr="00BD5982">
          <w:rPr>
            <w:rStyle w:val="Hyperlink"/>
          </w:rPr>
          <w:t>Health IT Strategic Plan</w:t>
        </w:r>
      </w:hyperlink>
    </w:p>
  </w:footnote>
  <w:footnote w:id="11">
    <w:p w14:paraId="725D6C08" w14:textId="7BBA537F" w:rsidR="00E163B8" w:rsidRDefault="00E163B8">
      <w:pPr>
        <w:pStyle w:val="FootnoteText"/>
      </w:pPr>
      <w:r>
        <w:rPr>
          <w:rStyle w:val="FootnoteReference"/>
        </w:rPr>
        <w:footnoteRef/>
      </w:r>
      <w:r>
        <w:t xml:space="preserve"> </w:t>
      </w:r>
      <w:hyperlink r:id="rId12" w:history="1">
        <w:r w:rsidRPr="00251C8D">
          <w:rPr>
            <w:rStyle w:val="Hyperlink"/>
          </w:rPr>
          <w:t>https://www.hhs.texas.gov/about/process-improvement/improving-services-texans/medicaid-chip-quality-efficiency-improvement/non-medical-drivers-health</w:t>
        </w:r>
      </w:hyperlink>
      <w:r>
        <w:t xml:space="preserve"> </w:t>
      </w:r>
    </w:p>
  </w:footnote>
  <w:footnote w:id="12">
    <w:p w14:paraId="2071D6D7" w14:textId="503F8486" w:rsidR="004D3873" w:rsidRDefault="004D3873" w:rsidP="002E757C">
      <w:pPr>
        <w:pStyle w:val="BodyText"/>
        <w:spacing w:before="160" w:after="160" w:line="276" w:lineRule="auto"/>
      </w:pPr>
      <w:r>
        <w:rPr>
          <w:rStyle w:val="FootnoteReference"/>
        </w:rPr>
        <w:footnoteRef/>
      </w:r>
      <w:r>
        <w:t xml:space="preserve">FUM: Follow-Up After Emergency Department Visit for Mental Illness Age 6+ (7 Day, 30 Day) </w:t>
      </w:r>
      <w:r>
        <w:br/>
        <w:t xml:space="preserve">AMM: Antidepressant Medication Management Age 18+ (Acute Phase, Continuation Phase) </w:t>
      </w:r>
      <w:r>
        <w:br/>
        <w:t>IET: Initiation and Engagement of Alcohol and Other Drug Abuse or Dependence Treatment Age 13</w:t>
      </w:r>
      <w:r>
        <w:t>+  (Initiation, Engagement</w:t>
      </w:r>
    </w:p>
  </w:footnote>
  <w:footnote w:id="13">
    <w:p w14:paraId="02F56836" w14:textId="0BAAF466" w:rsidR="004D3873" w:rsidRDefault="004D3873" w:rsidP="002E757C">
      <w:pPr>
        <w:pStyle w:val="BodyText"/>
        <w:spacing w:before="160" w:after="160" w:line="276" w:lineRule="auto"/>
      </w:pPr>
      <w:r>
        <w:rPr>
          <w:rStyle w:val="FootnoteReference"/>
        </w:rPr>
        <w:footnoteRef/>
      </w:r>
      <w:r>
        <w:t xml:space="preserve"> FUM: Follow-Up After Emergency Department Visit for Mental Illness Age 6+ (7 Day, 30 Day) </w:t>
      </w:r>
      <w:r>
        <w:br/>
        <w:t xml:space="preserve">AMM: Antidepressant Medication Management Age 18+ (Acute Phase, Continuation Phase) </w:t>
      </w:r>
      <w:r>
        <w:br/>
        <w:t>IET: Initiation and Engagement of Alcohol and Other Drug Abuse or Dependence Treatment Age 13</w:t>
      </w:r>
      <w:r>
        <w:t>+  (Initiation, Engagement</w:t>
      </w:r>
    </w:p>
  </w:footnote>
  <w:footnote w:id="14">
    <w:p w14:paraId="3DAF1BE8" w14:textId="06F30ECA" w:rsidR="004D3873" w:rsidRDefault="004D3873" w:rsidP="002E757C">
      <w:pPr>
        <w:pStyle w:val="BodyText"/>
        <w:spacing w:before="160" w:after="160" w:line="276" w:lineRule="auto"/>
      </w:pPr>
      <w:r>
        <w:rPr>
          <w:rStyle w:val="FootnoteReference"/>
        </w:rPr>
        <w:footnoteRef/>
      </w:r>
      <w:r>
        <w:t xml:space="preserve"> FUM: Follow-Up After Emergency Department Visit for Mental Illness Age 6+ (7 Day, 30 Day) </w:t>
      </w:r>
      <w:r>
        <w:br/>
        <w:t xml:space="preserve">AMM: Antidepressant Medication Management Age 18+ (Acute Phase, Continuation Phase) </w:t>
      </w:r>
      <w:r>
        <w:br/>
        <w:t>IET: Initiation and Engagement of Alcohol and Other Drug Abuse or Dependence Treatment Age 13</w:t>
      </w:r>
      <w:r>
        <w:t>+  (Initiation, Engagement)</w:t>
      </w:r>
    </w:p>
  </w:footnote>
  <w:footnote w:id="15">
    <w:p w14:paraId="1A805411" w14:textId="5EE0808B" w:rsidR="002475D1" w:rsidRDefault="002475D1" w:rsidP="002475D1">
      <w:pPr>
        <w:pStyle w:val="FootnoteText"/>
        <w:spacing w:before="60"/>
      </w:pPr>
      <w:r>
        <w:rPr>
          <w:rStyle w:val="FootnoteReference"/>
        </w:rPr>
        <w:footnoteRef/>
      </w:r>
      <w:r>
        <w:t xml:space="preserve"> Providers with no Medicaid volume are excluded from the calculation of baseline rate. </w:t>
      </w:r>
    </w:p>
  </w:footnote>
  <w:footnote w:id="16">
    <w:p w14:paraId="4825D4A9" w14:textId="77777777" w:rsidR="002475D1" w:rsidRDefault="002475D1" w:rsidP="002475D1">
      <w:pPr>
        <w:pStyle w:val="FootnoteText"/>
        <w:spacing w:before="60"/>
      </w:pPr>
      <w:r>
        <w:rPr>
          <w:rStyle w:val="FootnoteReference"/>
        </w:rPr>
        <w:footnoteRef/>
      </w:r>
      <w:r>
        <w:t xml:space="preserve"> Median rates that got better are in green. Median rates that got worse are in red. Median rates for 2021 and 2022 may include a different mix of providers.</w:t>
      </w:r>
    </w:p>
  </w:footnote>
  <w:footnote w:id="17">
    <w:p w14:paraId="6E5C31FB" w14:textId="65580927" w:rsidR="002475D1" w:rsidRDefault="002475D1" w:rsidP="002475D1">
      <w:pPr>
        <w:pStyle w:val="FootnoteText"/>
        <w:spacing w:before="60"/>
      </w:pPr>
      <w:r>
        <w:rPr>
          <w:rStyle w:val="FootnoteReference"/>
        </w:rPr>
        <w:footnoteRef/>
      </w:r>
      <w:r>
        <w:t xml:space="preserve"> The percent of providers that reported a measure with consistent payer-type that had better performance in 2022 compared to 2021</w:t>
      </w:r>
      <w:r w:rsidR="00310FEF">
        <w:t>.</w:t>
      </w:r>
    </w:p>
  </w:footnote>
  <w:footnote w:id="18">
    <w:p w14:paraId="456F0B62" w14:textId="080CCE67" w:rsidR="00F41DDF" w:rsidRDefault="00F41DDF" w:rsidP="00310FEF">
      <w:pPr>
        <w:pStyle w:val="FootnoteText"/>
        <w:spacing w:before="60"/>
      </w:pPr>
      <w:r>
        <w:rPr>
          <w:rStyle w:val="FootnoteReference"/>
        </w:rPr>
        <w:footnoteRef/>
      </w:r>
      <w:r>
        <w:t xml:space="preserve"> CY2022 and CY2023 evaluation targets are the same due to timing of available data for the SFY2023 and SFY2024 Evaluation Plans. These targets were based on CY2021 medians limited to providers who stratified by Medicaid Managed Care. </w:t>
      </w:r>
    </w:p>
  </w:footnote>
  <w:footnote w:id="19">
    <w:p w14:paraId="1B543F80" w14:textId="77777777" w:rsidR="00310FEF" w:rsidRDefault="00310FEF" w:rsidP="00310FEF">
      <w:pPr>
        <w:pStyle w:val="FootnoteText"/>
        <w:spacing w:before="60"/>
      </w:pPr>
      <w:r>
        <w:rPr>
          <w:rStyle w:val="FootnoteReference"/>
        </w:rPr>
        <w:footnoteRef/>
      </w:r>
      <w:r>
        <w:t xml:space="preserve"> Providers with no Medicaid volume are excluded from the calculation of baseline rate. </w:t>
      </w:r>
    </w:p>
  </w:footnote>
  <w:footnote w:id="20">
    <w:p w14:paraId="69C09146" w14:textId="77777777" w:rsidR="002475D1" w:rsidRDefault="002475D1" w:rsidP="002475D1">
      <w:pPr>
        <w:pStyle w:val="FootnoteText"/>
        <w:spacing w:before="60"/>
      </w:pPr>
      <w:r>
        <w:rPr>
          <w:rStyle w:val="FootnoteReference"/>
        </w:rPr>
        <w:footnoteRef/>
      </w:r>
      <w:r>
        <w:t xml:space="preserve"> Median rates that got better are in green. Median rates that got worse are in red. Median rates for 2021 and 2022 may include a different mix of providers.</w:t>
      </w:r>
    </w:p>
  </w:footnote>
  <w:footnote w:id="21">
    <w:p w14:paraId="4DDCC42A" w14:textId="361EC630" w:rsidR="002475D1" w:rsidRDefault="002475D1" w:rsidP="002475D1">
      <w:pPr>
        <w:pStyle w:val="FootnoteText"/>
        <w:spacing w:before="60"/>
      </w:pPr>
      <w:r>
        <w:rPr>
          <w:rStyle w:val="FootnoteReference"/>
        </w:rPr>
        <w:footnoteRef/>
      </w:r>
      <w:r>
        <w:t xml:space="preserve"> The percent of providers that reported a measure with consistent payer-type that had better performance in 2022 compared to 2021</w:t>
      </w:r>
      <w:r w:rsidR="00310FEF">
        <w:t>.</w:t>
      </w:r>
    </w:p>
  </w:footnote>
  <w:footnote w:id="22">
    <w:p w14:paraId="205FDCAF" w14:textId="1B2B296C" w:rsidR="00310FEF" w:rsidRDefault="00310FEF" w:rsidP="00310FEF">
      <w:pPr>
        <w:pStyle w:val="FootnoteText"/>
        <w:spacing w:before="60"/>
      </w:pPr>
      <w:r>
        <w:rPr>
          <w:rStyle w:val="FootnoteReference"/>
        </w:rPr>
        <w:footnoteRef/>
      </w:r>
      <w:r>
        <w:t xml:space="preserve"> CY2022 and CY2023 evaluation targets are the same due to timing of available data for the SFY2023 and SFY2024 Evaluation Plans. These targets were based on CY2021 medians limited to providers who stratified by Medicaid Managed Care. </w:t>
      </w:r>
    </w:p>
    <w:p w14:paraId="61E0CB3B" w14:textId="4E1687B3" w:rsidR="00310FEF" w:rsidRDefault="00310FEF" w:rsidP="00310FEF">
      <w:pPr>
        <w:pStyle w:val="FootnoteText"/>
        <w:spacing w:before="60"/>
      </w:pPr>
      <w:r>
        <w:rPr>
          <w:vertAlign w:val="superscript"/>
        </w:rPr>
        <w:t>*</w:t>
      </w:r>
      <w:r>
        <w:t xml:space="preserve"> Indicates that lower numbers are better.</w:t>
      </w:r>
    </w:p>
  </w:footnote>
  <w:footnote w:id="23">
    <w:p w14:paraId="7676EA49" w14:textId="4415BDE2" w:rsidR="002475D1" w:rsidRDefault="002475D1" w:rsidP="002475D1">
      <w:pPr>
        <w:pStyle w:val="FootnoteText"/>
        <w:spacing w:before="60"/>
      </w:pPr>
      <w:r>
        <w:rPr>
          <w:rStyle w:val="FootnoteReference"/>
        </w:rPr>
        <w:footnoteRef/>
      </w:r>
      <w:r>
        <w:t xml:space="preserve"> Providers with no Medicaid Managed Care volume are excluded from the calculation of baseline rate. </w:t>
      </w:r>
    </w:p>
  </w:footnote>
  <w:footnote w:id="24">
    <w:p w14:paraId="4B06F2B9" w14:textId="77777777" w:rsidR="002475D1" w:rsidRDefault="002475D1" w:rsidP="002475D1">
      <w:pPr>
        <w:pStyle w:val="FootnoteText"/>
        <w:spacing w:before="60"/>
      </w:pPr>
      <w:r>
        <w:rPr>
          <w:rStyle w:val="FootnoteReference"/>
        </w:rPr>
        <w:footnoteRef/>
      </w:r>
      <w:r>
        <w:t xml:space="preserve"> Median rates that got better are in green. Median rates that got worse are in red. Median rates for 2021 and 2022 may include a different mix of providers.</w:t>
      </w:r>
    </w:p>
  </w:footnote>
  <w:footnote w:id="25">
    <w:p w14:paraId="14859500" w14:textId="24038DBB" w:rsidR="002475D1" w:rsidRDefault="002475D1" w:rsidP="002475D1">
      <w:pPr>
        <w:pStyle w:val="FootnoteText"/>
        <w:spacing w:before="60"/>
      </w:pPr>
      <w:r>
        <w:rPr>
          <w:rStyle w:val="FootnoteReference"/>
        </w:rPr>
        <w:footnoteRef/>
      </w:r>
      <w:r>
        <w:t xml:space="preserve"> The percent of providers that reported a measure with consistent payer-type that had better performance in 2022 compared to 2021</w:t>
      </w:r>
      <w:r w:rsidR="00310FEF">
        <w:t>.</w:t>
      </w:r>
    </w:p>
  </w:footnote>
  <w:footnote w:id="26">
    <w:p w14:paraId="31A823EF" w14:textId="77777777" w:rsidR="00310FEF" w:rsidRDefault="00310FEF" w:rsidP="00310FEF">
      <w:pPr>
        <w:pStyle w:val="FootnoteText"/>
        <w:spacing w:before="60"/>
      </w:pPr>
      <w:r>
        <w:rPr>
          <w:rStyle w:val="FootnoteReference"/>
        </w:rPr>
        <w:footnoteRef/>
      </w:r>
      <w:r>
        <w:t xml:space="preserve"> CY2022 and CY2023 evaluation targets are the same due to timing of available data for the SFY2023 and SFY2024 Evaluation Plans. These targets were based on CY2021 medians limited to providers who stratified by Medicaid Managed Care. </w:t>
      </w:r>
    </w:p>
    <w:p w14:paraId="64A45D24" w14:textId="2015061B" w:rsidR="00310FEF" w:rsidRDefault="00310FEF" w:rsidP="00310FEF">
      <w:pPr>
        <w:pStyle w:val="FootnoteText"/>
        <w:spacing w:before="60"/>
      </w:pPr>
      <w:r>
        <w:rPr>
          <w:vertAlign w:val="superscript"/>
        </w:rPr>
        <w:t>*</w:t>
      </w:r>
      <w:r>
        <w:t xml:space="preserve"> Indicates that lower numbers are better.</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2EA824"/>
    <w:lvl w:ilvl="0">
      <w:start w:val="1"/>
      <w:numFmt w:val="decimal"/>
      <w:pStyle w:val="ListNumber5"/>
      <w:lvlText w:val="%1."/>
      <w:lvlJc w:val="left"/>
      <w:pPr>
        <w:tabs>
          <w:tab w:val="num" w:pos="1530"/>
        </w:tabs>
        <w:ind w:left="1530" w:hanging="360"/>
      </w:pPr>
    </w:lvl>
  </w:abstractNum>
  <w:abstractNum w:abstractNumId="1" w15:restartNumberingAfterBreak="0">
    <w:nsid w:val="FFFFFF7D"/>
    <w:multiLevelType w:val="singleLevel"/>
    <w:tmpl w:val="7FFEAAA2"/>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0F4A099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A36AC402"/>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EF762F8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C243C1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90A0D7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C4C7AD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0181704E"/>
    <w:multiLevelType w:val="hybridMultilevel"/>
    <w:tmpl w:val="BC28D3FE"/>
    <w:lvl w:ilvl="0" w:tplc="F5B8408C">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B532B19"/>
    <w:multiLevelType w:val="hybridMultilevel"/>
    <w:tmpl w:val="37587A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BF28D4"/>
    <w:multiLevelType w:val="hybridMultilevel"/>
    <w:tmpl w:val="044883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87143E"/>
    <w:multiLevelType w:val="hybridMultilevel"/>
    <w:tmpl w:val="D4D0AA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00959A4"/>
    <w:multiLevelType w:val="hybridMultilevel"/>
    <w:tmpl w:val="6E9857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0DC02F3"/>
    <w:multiLevelType w:val="hybridMultilevel"/>
    <w:tmpl w:val="28464ABC"/>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244369"/>
    <w:multiLevelType w:val="hybridMultilevel"/>
    <w:tmpl w:val="1BEC97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8CB67FC"/>
    <w:multiLevelType w:val="hybridMultilevel"/>
    <w:tmpl w:val="4CAE3D7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A03195E"/>
    <w:multiLevelType w:val="hybridMultilevel"/>
    <w:tmpl w:val="BF28ED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1C8F48A3"/>
    <w:multiLevelType w:val="hybridMultilevel"/>
    <w:tmpl w:val="D220AA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C9064C8"/>
    <w:multiLevelType w:val="multilevel"/>
    <w:tmpl w:val="870AECF0"/>
    <w:numStyleLink w:val="HHSNumbering"/>
  </w:abstractNum>
  <w:abstractNum w:abstractNumId="19" w15:restartNumberingAfterBreak="0">
    <w:nsid w:val="1F2200E0"/>
    <w:multiLevelType w:val="multilevel"/>
    <w:tmpl w:val="870AECF0"/>
    <w:styleLink w:val="HHSNumbering"/>
    <w:lvl w:ilvl="0">
      <w:start w:val="1"/>
      <w:numFmt w:val="decimal"/>
      <w:pStyle w:val="ListNumber"/>
      <w:lvlText w:val="%1."/>
      <w:lvlJc w:val="left"/>
      <w:pPr>
        <w:ind w:left="720" w:hanging="360"/>
      </w:pPr>
      <w:rPr>
        <w:rFonts w:asciiTheme="minorHAnsi" w:hAnsiTheme="minorHAnsi" w:hint="default"/>
      </w:rPr>
    </w:lvl>
    <w:lvl w:ilvl="1">
      <w:start w:val="1"/>
      <w:numFmt w:val="lowerLetter"/>
      <w:lvlText w:val="%2."/>
      <w:lvlJc w:val="left"/>
      <w:pPr>
        <w:ind w:left="1080" w:hanging="360"/>
      </w:pPr>
      <w:rPr>
        <w:rFonts w:asciiTheme="minorHAnsi" w:hAnsiTheme="minorHAnsi" w:hint="default"/>
      </w:rPr>
    </w:lvl>
    <w:lvl w:ilvl="2">
      <w:start w:val="1"/>
      <w:numFmt w:val="lowerRoman"/>
      <w:lvlText w:val="%3."/>
      <w:lvlJc w:val="left"/>
      <w:pPr>
        <w:ind w:left="1440" w:hanging="360"/>
      </w:pPr>
      <w:rPr>
        <w:rFonts w:asciiTheme="minorHAnsi" w:hAnsiTheme="minorHAnsi" w:hint="default"/>
      </w:rPr>
    </w:lvl>
    <w:lvl w:ilvl="3">
      <w:start w:val="1"/>
      <w:numFmt w:val="decimal"/>
      <w:suff w:val="space"/>
      <w:lvlText w:val="(%4)"/>
      <w:lvlJc w:val="left"/>
      <w:pPr>
        <w:ind w:left="1800" w:hanging="360"/>
      </w:pPr>
      <w:rPr>
        <w:rFonts w:asciiTheme="minorHAnsi" w:hAnsiTheme="minorHAnsi" w:hint="default"/>
      </w:rPr>
    </w:lvl>
    <w:lvl w:ilvl="4">
      <w:start w:val="1"/>
      <w:numFmt w:val="lowerLetter"/>
      <w:suff w:val="space"/>
      <w:lvlText w:val="(%5)"/>
      <w:lvlJc w:val="left"/>
      <w:pPr>
        <w:ind w:left="2160" w:hanging="360"/>
      </w:pPr>
      <w:rPr>
        <w:rFonts w:asciiTheme="minorHAnsi" w:hAnsiTheme="minorHAnsi" w:hint="default"/>
      </w:rPr>
    </w:lvl>
    <w:lvl w:ilvl="5">
      <w:start w:val="1"/>
      <w:numFmt w:val="lowerRoman"/>
      <w:suff w:val="space"/>
      <w:lvlText w:val="(%6)"/>
      <w:lvlJc w:val="left"/>
      <w:pPr>
        <w:ind w:left="2520" w:hanging="360"/>
      </w:pPr>
      <w:rPr>
        <w:rFonts w:asciiTheme="minorHAnsi" w:hAnsiTheme="minorHAnsi" w:hint="default"/>
      </w:rPr>
    </w:lvl>
    <w:lvl w:ilvl="6">
      <w:start w:val="1"/>
      <w:numFmt w:val="none"/>
      <w:lvlText w:val="%7"/>
      <w:lvlJc w:val="left"/>
      <w:pPr>
        <w:ind w:left="2880" w:hanging="360"/>
      </w:pPr>
      <w:rPr>
        <w:rFonts w:hint="default"/>
      </w:rPr>
    </w:lvl>
    <w:lvl w:ilvl="7">
      <w:start w:val="1"/>
      <w:numFmt w:val="none"/>
      <w:lvlText w:val="%8"/>
      <w:lvlJc w:val="left"/>
      <w:pPr>
        <w:ind w:left="3240" w:hanging="360"/>
      </w:pPr>
      <w:rPr>
        <w:rFonts w:hint="default"/>
      </w:rPr>
    </w:lvl>
    <w:lvl w:ilvl="8">
      <w:start w:val="1"/>
      <w:numFmt w:val="none"/>
      <w:lvlText w:val="%9"/>
      <w:lvlJc w:val="left"/>
      <w:pPr>
        <w:ind w:left="3600" w:hanging="360"/>
      </w:pPr>
      <w:rPr>
        <w:rFonts w:hint="default"/>
      </w:rPr>
    </w:lvl>
  </w:abstractNum>
  <w:abstractNum w:abstractNumId="20" w15:restartNumberingAfterBreak="0">
    <w:nsid w:val="25B602D5"/>
    <w:multiLevelType w:val="hybridMultilevel"/>
    <w:tmpl w:val="6DC47F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6A54B0A"/>
    <w:multiLevelType w:val="multilevel"/>
    <w:tmpl w:val="BC802FE0"/>
    <w:name w:val="zzmpStandard||Standard|2|21|1|1|0|1||1|0|0||1|0|0||1|0|0||1|0|0||1|0|0||1|0|0||1|0|0||1|0|0||"/>
    <w:lvl w:ilvl="0">
      <w:start w:val="12"/>
      <w:numFmt w:val="upperRoman"/>
      <w:pStyle w:val="StandardL1"/>
      <w:lvlText w:val="%1."/>
      <w:lvlJc w:val="left"/>
      <w:pPr>
        <w:tabs>
          <w:tab w:val="num" w:pos="720"/>
        </w:tabs>
        <w:ind w:left="720" w:hanging="720"/>
      </w:pPr>
      <w:rPr>
        <w:rFonts w:cs="Times New Roman"/>
        <w:b/>
        <w:i w:val="0"/>
        <w:caps w:val="0"/>
        <w:strike w:val="0"/>
        <w:dstrike w:val="0"/>
        <w:vanish w:val="0"/>
        <w:webHidden w:val="0"/>
        <w:color w:val="000000"/>
        <w:u w:val="none"/>
        <w:effect w:val="none"/>
        <w:vertAlign w:val="baseline"/>
        <w:specVanish w:val="0"/>
      </w:rPr>
    </w:lvl>
    <w:lvl w:ilvl="1">
      <w:start w:val="1"/>
      <w:numFmt w:val="decimal"/>
      <w:lvlRestart w:val="0"/>
      <w:pStyle w:val="StandardL2"/>
      <w:lvlText w:val="%2."/>
      <w:lvlJc w:val="left"/>
      <w:pPr>
        <w:tabs>
          <w:tab w:val="num" w:pos="720"/>
        </w:tabs>
        <w:ind w:left="720" w:hanging="720"/>
      </w:pPr>
      <w:rPr>
        <w:rFonts w:cs="Times New Roman"/>
        <w:b/>
        <w:i w:val="0"/>
        <w:caps w:val="0"/>
        <w:strike w:val="0"/>
        <w:dstrike w:val="0"/>
        <w:vanish w:val="0"/>
        <w:webHidden w:val="0"/>
        <w:color w:val="000000"/>
        <w:u w:val="none"/>
        <w:effect w:val="none"/>
        <w:vertAlign w:val="baseline"/>
        <w:specVanish w:val="0"/>
      </w:rPr>
    </w:lvl>
    <w:lvl w:ilvl="2">
      <w:start w:val="1"/>
      <w:numFmt w:val="lowerLetter"/>
      <w:pStyle w:val="StandardL3"/>
      <w:lvlText w:val="%3."/>
      <w:lvlJc w:val="left"/>
      <w:pPr>
        <w:tabs>
          <w:tab w:val="num" w:pos="1440"/>
        </w:tabs>
        <w:ind w:left="1440" w:hanging="720"/>
      </w:pPr>
      <w:rPr>
        <w:rFonts w:cs="Times New Roman"/>
        <w:b w:val="0"/>
        <w:i w:val="0"/>
        <w:caps w:val="0"/>
        <w:strike w:val="0"/>
        <w:dstrike w:val="0"/>
        <w:vanish w:val="0"/>
        <w:webHidden w:val="0"/>
        <w:color w:val="000000"/>
        <w:u w:val="none"/>
        <w:effect w:val="none"/>
        <w:vertAlign w:val="baseline"/>
        <w:specVanish w:val="0"/>
      </w:rPr>
    </w:lvl>
    <w:lvl w:ilvl="3">
      <w:start w:val="1"/>
      <w:numFmt w:val="lowerRoman"/>
      <w:pStyle w:val="StandardL4"/>
      <w:lvlText w:val="%4."/>
      <w:lvlJc w:val="left"/>
      <w:pPr>
        <w:tabs>
          <w:tab w:val="num" w:pos="2160"/>
        </w:tabs>
        <w:ind w:left="2160" w:hanging="720"/>
      </w:pPr>
      <w:rPr>
        <w:rFonts w:cs="Times New Roman"/>
        <w:b w:val="0"/>
        <w:i w:val="0"/>
        <w:caps w:val="0"/>
        <w:strike w:val="0"/>
        <w:dstrike w:val="0"/>
        <w:vanish w:val="0"/>
        <w:webHidden w:val="0"/>
        <w:color w:val="000000"/>
        <w:u w:val="none"/>
        <w:effect w:val="none"/>
        <w:vertAlign w:val="baseline"/>
        <w:specVanish w:val="0"/>
      </w:rPr>
    </w:lvl>
    <w:lvl w:ilvl="4">
      <w:start w:val="1"/>
      <w:numFmt w:val="lowerLetter"/>
      <w:pStyle w:val="StandardL5"/>
      <w:lvlText w:val="%5."/>
      <w:lvlJc w:val="left"/>
      <w:pPr>
        <w:tabs>
          <w:tab w:val="num" w:pos="3600"/>
        </w:tabs>
        <w:ind w:left="0" w:firstLine="2880"/>
      </w:pPr>
      <w:rPr>
        <w:rFonts w:cs="Times New Roman"/>
        <w:b w:val="0"/>
        <w:i w:val="0"/>
        <w:caps w:val="0"/>
        <w:strike w:val="0"/>
        <w:dstrike w:val="0"/>
        <w:vanish w:val="0"/>
        <w:webHidden w:val="0"/>
        <w:color w:val="000000"/>
        <w:u w:val="none"/>
        <w:effect w:val="none"/>
        <w:vertAlign w:val="baseline"/>
        <w:specVanish w:val="0"/>
      </w:rPr>
    </w:lvl>
    <w:lvl w:ilvl="5">
      <w:start w:val="1"/>
      <w:numFmt w:val="lowerRoman"/>
      <w:pStyle w:val="StandardL6"/>
      <w:lvlText w:val="%6."/>
      <w:lvlJc w:val="left"/>
      <w:pPr>
        <w:tabs>
          <w:tab w:val="num" w:pos="4320"/>
        </w:tabs>
        <w:ind w:left="0" w:firstLine="3600"/>
      </w:pPr>
      <w:rPr>
        <w:rFonts w:cs="Times New Roman"/>
        <w:b w:val="0"/>
        <w:i w:val="0"/>
        <w:caps w:val="0"/>
        <w:strike w:val="0"/>
        <w:dstrike w:val="0"/>
        <w:vanish w:val="0"/>
        <w:webHidden w:val="0"/>
        <w:color w:val="000000"/>
        <w:u w:val="none"/>
        <w:effect w:val="none"/>
        <w:vertAlign w:val="baseline"/>
        <w:specVanish w:val="0"/>
      </w:rPr>
    </w:lvl>
    <w:lvl w:ilvl="6">
      <w:start w:val="1"/>
      <w:numFmt w:val="decimal"/>
      <w:pStyle w:val="StandardL7"/>
      <w:lvlText w:val="%7)"/>
      <w:lvlJc w:val="left"/>
      <w:pPr>
        <w:tabs>
          <w:tab w:val="num" w:pos="5040"/>
        </w:tabs>
        <w:ind w:left="0" w:firstLine="4320"/>
      </w:pPr>
      <w:rPr>
        <w:rFonts w:cs="Times New Roman"/>
        <w:b w:val="0"/>
        <w:i w:val="0"/>
        <w:caps w:val="0"/>
        <w:strike w:val="0"/>
        <w:dstrike w:val="0"/>
        <w:vanish w:val="0"/>
        <w:webHidden w:val="0"/>
        <w:color w:val="000000"/>
        <w:u w:val="none"/>
        <w:effect w:val="none"/>
        <w:vertAlign w:val="baseline"/>
        <w:specVanish w:val="0"/>
      </w:rPr>
    </w:lvl>
    <w:lvl w:ilvl="7">
      <w:start w:val="1"/>
      <w:numFmt w:val="lowerLetter"/>
      <w:pStyle w:val="StandardL8"/>
      <w:lvlText w:val="%8)"/>
      <w:lvlJc w:val="left"/>
      <w:pPr>
        <w:tabs>
          <w:tab w:val="num" w:pos="5760"/>
        </w:tabs>
        <w:ind w:left="0" w:firstLine="5040"/>
      </w:pPr>
      <w:rPr>
        <w:rFonts w:cs="Times New Roman"/>
        <w:b w:val="0"/>
        <w:i w:val="0"/>
        <w:caps w:val="0"/>
        <w:strike w:val="0"/>
        <w:dstrike w:val="0"/>
        <w:vanish w:val="0"/>
        <w:webHidden w:val="0"/>
        <w:color w:val="000000"/>
        <w:u w:val="none"/>
        <w:effect w:val="none"/>
        <w:vertAlign w:val="baseline"/>
        <w:specVanish w:val="0"/>
      </w:rPr>
    </w:lvl>
    <w:lvl w:ilvl="8">
      <w:start w:val="1"/>
      <w:numFmt w:val="lowerRoman"/>
      <w:pStyle w:val="StandardL9"/>
      <w:lvlText w:val="%9)"/>
      <w:lvlJc w:val="left"/>
      <w:pPr>
        <w:tabs>
          <w:tab w:val="num" w:pos="6480"/>
        </w:tabs>
        <w:ind w:left="0" w:firstLine="5760"/>
      </w:pPr>
      <w:rPr>
        <w:rFonts w:cs="Times New Roman"/>
        <w:b w:val="0"/>
        <w:i w:val="0"/>
        <w:caps w:val="0"/>
        <w:strike w:val="0"/>
        <w:dstrike w:val="0"/>
        <w:vanish w:val="0"/>
        <w:webHidden w:val="0"/>
        <w:color w:val="000000"/>
        <w:u w:val="none"/>
        <w:effect w:val="none"/>
        <w:vertAlign w:val="baseline"/>
        <w:specVanish w:val="0"/>
      </w:rPr>
    </w:lvl>
  </w:abstractNum>
  <w:abstractNum w:abstractNumId="22" w15:restartNumberingAfterBreak="0">
    <w:nsid w:val="2C382E10"/>
    <w:multiLevelType w:val="multilevel"/>
    <w:tmpl w:val="B958EEF0"/>
    <w:styleLink w:val="HHSHeadingNumbering"/>
    <w:lvl w:ilvl="0">
      <w:start w:val="1"/>
      <w:numFmt w:val="decimal"/>
      <w:pStyle w:val="Heading1"/>
      <w:lvlText w:val="%1."/>
      <w:lvlJc w:val="left"/>
      <w:pPr>
        <w:ind w:left="360" w:hanging="360"/>
      </w:pPr>
      <w:rPr>
        <w:rFonts w:asciiTheme="majorHAnsi" w:hAnsiTheme="majorHAnsi" w:hint="default"/>
      </w:rPr>
    </w:lvl>
    <w:lvl w:ilvl="1">
      <w:start w:val="1"/>
      <w:numFmt w:val="decimal"/>
      <w:suff w:val="space"/>
      <w:lvlText w:val="%2.%1."/>
      <w:lvlJc w:val="left"/>
      <w:pPr>
        <w:ind w:left="360" w:hanging="360"/>
      </w:pPr>
      <w:rPr>
        <w:rFonts w:asciiTheme="majorHAnsi" w:hAnsiTheme="majorHAnsi" w:hint="default"/>
      </w:rPr>
    </w:lvl>
    <w:lvl w:ilvl="2">
      <w:start w:val="1"/>
      <w:numFmt w:val="decimal"/>
      <w:suff w:val="space"/>
      <w:lvlText w:val="%1.%2.%3."/>
      <w:lvlJc w:val="left"/>
      <w:pPr>
        <w:ind w:left="360" w:hanging="360"/>
      </w:pPr>
      <w:rPr>
        <w:rFonts w:asciiTheme="majorHAnsi" w:hAnsiTheme="majorHAnsi" w:hint="default"/>
      </w:rPr>
    </w:lvl>
    <w:lvl w:ilvl="3">
      <w:start w:val="1"/>
      <w:numFmt w:val="decimal"/>
      <w:suff w:val="space"/>
      <w:lvlText w:val="%1.%2.%3.%4."/>
      <w:lvlJc w:val="left"/>
      <w:pPr>
        <w:ind w:left="360" w:hanging="360"/>
      </w:pPr>
      <w:rPr>
        <w:rFonts w:asciiTheme="minorHAnsi" w:hAnsiTheme="minorHAnsi" w:hint="default"/>
      </w:rPr>
    </w:lvl>
    <w:lvl w:ilvl="4">
      <w:start w:val="1"/>
      <w:numFmt w:val="decimal"/>
      <w:suff w:val="space"/>
      <w:lvlText w:val="%1.%2.%3.%4.%5."/>
      <w:lvlJc w:val="left"/>
      <w:pPr>
        <w:ind w:left="360" w:hanging="360"/>
      </w:pPr>
      <w:rPr>
        <w:rFonts w:asciiTheme="minorHAnsi" w:hAnsiTheme="minorHAnsi" w:hint="default"/>
      </w:rPr>
    </w:lvl>
    <w:lvl w:ilvl="5">
      <w:start w:val="1"/>
      <w:numFmt w:val="decimal"/>
      <w:suff w:val="space"/>
      <w:lvlText w:val="%1.%2.%3.%4.%5.%6."/>
      <w:lvlJc w:val="left"/>
      <w:pPr>
        <w:ind w:left="360" w:hanging="360"/>
      </w:pPr>
      <w:rPr>
        <w:rFonts w:asciiTheme="minorHAnsi" w:hAnsiTheme="minorHAnsi" w:hint="default"/>
      </w:rPr>
    </w:lvl>
    <w:lvl w:ilvl="6">
      <w:start w:val="1"/>
      <w:numFmt w:val="none"/>
      <w:suff w:val="nothing"/>
      <w:lvlText w:val="%7"/>
      <w:lvlJc w:val="left"/>
      <w:pPr>
        <w:ind w:left="360" w:hanging="360"/>
      </w:pPr>
      <w:rPr>
        <w:rFonts w:hint="default"/>
      </w:rPr>
    </w:lvl>
    <w:lvl w:ilvl="7">
      <w:start w:val="1"/>
      <w:numFmt w:val="none"/>
      <w:suff w:val="nothing"/>
      <w:lvlText w:val="%8"/>
      <w:lvlJc w:val="left"/>
      <w:pPr>
        <w:ind w:left="360" w:hanging="360"/>
      </w:pPr>
      <w:rPr>
        <w:rFonts w:hint="default"/>
      </w:rPr>
    </w:lvl>
    <w:lvl w:ilvl="8">
      <w:start w:val="1"/>
      <w:numFmt w:val="none"/>
      <w:suff w:val="nothing"/>
      <w:lvlText w:val="%9"/>
      <w:lvlJc w:val="left"/>
      <w:pPr>
        <w:ind w:left="360" w:hanging="360"/>
      </w:pPr>
      <w:rPr>
        <w:rFonts w:hint="default"/>
      </w:rPr>
    </w:lvl>
  </w:abstractNum>
  <w:abstractNum w:abstractNumId="23" w15:restartNumberingAfterBreak="0">
    <w:nsid w:val="363D7576"/>
    <w:multiLevelType w:val="multilevel"/>
    <w:tmpl w:val="388E255A"/>
    <w:name w:val="Report Headings"/>
    <w:lvl w:ilvl="0">
      <w:start w:val="1"/>
      <w:numFmt w:val="decimal"/>
      <w:suff w:val="space"/>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36BC01A6"/>
    <w:multiLevelType w:val="hybridMultilevel"/>
    <w:tmpl w:val="8B64F2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C7D4623"/>
    <w:multiLevelType w:val="hybridMultilevel"/>
    <w:tmpl w:val="B9B03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1326F35"/>
    <w:multiLevelType w:val="multilevel"/>
    <w:tmpl w:val="D4C65E62"/>
    <w:styleLink w:val="Appendixes"/>
    <w:lvl w:ilvl="0">
      <w:start w:val="1"/>
      <w:numFmt w:val="upperLetter"/>
      <w:suff w:val="space"/>
      <w:lvlText w:val="Appendix %1."/>
      <w:lvlJc w:val="left"/>
      <w:pPr>
        <w:ind w:left="0" w:firstLine="0"/>
      </w:pPr>
      <w:rPr>
        <w:rFonts w:asciiTheme="majorHAnsi" w:hAnsiTheme="majorHAnsi" w:hint="default"/>
        <w:b/>
        <w:sz w:val="32"/>
      </w:rPr>
    </w:lvl>
    <w:lvl w:ilvl="1">
      <w:start w:val="1"/>
      <w:numFmt w:val="none"/>
      <w:suff w:val="nothing"/>
      <w:lvlText w:val="%2"/>
      <w:lvlJc w:val="left"/>
      <w:pPr>
        <w:ind w:left="0" w:firstLine="0"/>
      </w:pPr>
      <w:rPr>
        <w:rFonts w:hint="default"/>
      </w:rPr>
    </w:lvl>
    <w:lvl w:ilvl="2">
      <w:start w:val="1"/>
      <w:numFmt w:val="none"/>
      <w:suff w:val="nothing"/>
      <w:lvlText w:val="%3"/>
      <w:lvlJc w:val="right"/>
      <w:pPr>
        <w:ind w:left="0" w:firstLine="0"/>
      </w:pPr>
      <w:rPr>
        <w:rFonts w:hint="default"/>
      </w:rPr>
    </w:lvl>
    <w:lvl w:ilvl="3">
      <w:start w:val="1"/>
      <w:numFmt w:val="none"/>
      <w:suff w:val="nothing"/>
      <w:lvlText w:val="%4"/>
      <w:lvlJc w:val="left"/>
      <w:pPr>
        <w:ind w:left="0" w:firstLine="0"/>
      </w:pPr>
      <w:rPr>
        <w:rFonts w:hint="default"/>
      </w:rPr>
    </w:lvl>
    <w:lvl w:ilvl="4">
      <w:start w:val="1"/>
      <w:numFmt w:val="none"/>
      <w:suff w:val="nothing"/>
      <w:lvlText w:val="%5"/>
      <w:lvlJc w:val="left"/>
      <w:pPr>
        <w:ind w:left="0" w:firstLine="0"/>
      </w:pPr>
      <w:rPr>
        <w:rFonts w:hint="default"/>
      </w:rPr>
    </w:lvl>
    <w:lvl w:ilvl="5">
      <w:start w:val="1"/>
      <w:numFmt w:val="none"/>
      <w:suff w:val="nothing"/>
      <w:lvlText w:val="%6"/>
      <w:lvlJc w:val="right"/>
      <w:pPr>
        <w:ind w:left="0" w:firstLine="0"/>
      </w:pPr>
      <w:rPr>
        <w:rFonts w:hint="default"/>
      </w:rPr>
    </w:lvl>
    <w:lvl w:ilvl="6">
      <w:start w:val="1"/>
      <w:numFmt w:val="none"/>
      <w:suff w:val="nothing"/>
      <w:lvlText w:val="%7."/>
      <w:lvlJc w:val="left"/>
      <w:pPr>
        <w:ind w:left="0" w:firstLine="0"/>
      </w:pPr>
      <w:rPr>
        <w:rFonts w:hint="default"/>
      </w:rPr>
    </w:lvl>
    <w:lvl w:ilvl="7">
      <w:start w:val="1"/>
      <w:numFmt w:val="none"/>
      <w:suff w:val="nothing"/>
      <w:lvlText w:val="%8"/>
      <w:lvlJc w:val="left"/>
      <w:pPr>
        <w:ind w:left="0" w:firstLine="0"/>
      </w:pPr>
      <w:rPr>
        <w:rFonts w:hint="default"/>
      </w:rPr>
    </w:lvl>
    <w:lvl w:ilvl="8">
      <w:start w:val="1"/>
      <w:numFmt w:val="none"/>
      <w:suff w:val="nothing"/>
      <w:lvlText w:val="%9"/>
      <w:lvlJc w:val="right"/>
      <w:pPr>
        <w:ind w:left="0" w:firstLine="0"/>
      </w:pPr>
      <w:rPr>
        <w:rFonts w:hint="default"/>
      </w:rPr>
    </w:lvl>
  </w:abstractNum>
  <w:abstractNum w:abstractNumId="27" w15:restartNumberingAfterBreak="0">
    <w:nsid w:val="4BF25A4F"/>
    <w:multiLevelType w:val="hybridMultilevel"/>
    <w:tmpl w:val="4EB85A22"/>
    <w:lvl w:ilvl="0" w:tplc="126875DE">
      <w:start w:val="1"/>
      <w:numFmt w:val="lowerLetter"/>
      <w:lvlText w:val="%1."/>
      <w:lvlJc w:val="left"/>
      <w:pPr>
        <w:ind w:left="720" w:hanging="360"/>
      </w:pPr>
      <w:rPr>
        <w:rFonts w:ascii="Verdana" w:eastAsia="Verdana" w:hAnsi="Verdana" w:cs="Arial"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DBA2853"/>
    <w:multiLevelType w:val="hybridMultilevel"/>
    <w:tmpl w:val="4F8E9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0E80DB4"/>
    <w:multiLevelType w:val="hybridMultilevel"/>
    <w:tmpl w:val="D2F23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1BF64BC"/>
    <w:multiLevelType w:val="hybridMultilevel"/>
    <w:tmpl w:val="863A08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33E4788"/>
    <w:multiLevelType w:val="hybridMultilevel"/>
    <w:tmpl w:val="A35200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3A7628F"/>
    <w:multiLevelType w:val="hybridMultilevel"/>
    <w:tmpl w:val="C67864A8"/>
    <w:lvl w:ilvl="0" w:tplc="776E13AA">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51C6D74"/>
    <w:multiLevelType w:val="hybridMultilevel"/>
    <w:tmpl w:val="84B21E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D0C505F"/>
    <w:multiLevelType w:val="hybridMultilevel"/>
    <w:tmpl w:val="BEF06EB8"/>
    <w:lvl w:ilvl="0" w:tplc="36DACF28">
      <w:numFmt w:val="bullet"/>
      <w:lvlText w:val="-"/>
      <w:lvlJc w:val="left"/>
      <w:pPr>
        <w:ind w:left="720" w:hanging="360"/>
      </w:pPr>
      <w:rPr>
        <w:rFonts w:ascii="Verdana" w:eastAsiaTheme="minorHAnsi" w:hAnsi="Verdana"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DF71678"/>
    <w:multiLevelType w:val="hybridMultilevel"/>
    <w:tmpl w:val="571AF8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0A0D78"/>
    <w:multiLevelType w:val="multilevel"/>
    <w:tmpl w:val="EFE00F92"/>
    <w:styleLink w:val="HHSBullets"/>
    <w:lvl w:ilvl="0">
      <w:start w:val="1"/>
      <w:numFmt w:val="bullet"/>
      <w:pStyle w:val="ListBullet"/>
      <w:lvlText w:val="●"/>
      <w:lvlJc w:val="left"/>
      <w:pPr>
        <w:ind w:left="720" w:hanging="360"/>
      </w:pPr>
      <w:rPr>
        <w:rFonts w:ascii="Times New Roman" w:hAnsi="Times New Roman" w:cs="Times New Roman" w:hint="default"/>
        <w:b w:val="0"/>
        <w:i w:val="0"/>
        <w:sz w:val="22"/>
      </w:rPr>
    </w:lvl>
    <w:lvl w:ilvl="1">
      <w:start w:val="1"/>
      <w:numFmt w:val="bullet"/>
      <w:lvlText w:val=""/>
      <w:lvlJc w:val="left"/>
      <w:pPr>
        <w:ind w:left="1080" w:hanging="360"/>
      </w:pPr>
      <w:rPr>
        <w:rFonts w:ascii="Webdings" w:hAnsi="Webdings" w:hint="default"/>
        <w:b w:val="0"/>
        <w:i w:val="0"/>
      </w:rPr>
    </w:lvl>
    <w:lvl w:ilvl="2">
      <w:start w:val="1"/>
      <w:numFmt w:val="bullet"/>
      <w:lvlText w:val="◊"/>
      <w:lvlJc w:val="left"/>
      <w:pPr>
        <w:ind w:left="1440" w:hanging="360"/>
      </w:pPr>
      <w:rPr>
        <w:rFonts w:ascii="Times New Roman" w:hAnsi="Times New Roman" w:cs="Times New Roman" w:hint="default"/>
        <w:b w:val="0"/>
        <w:i w:val="0"/>
      </w:rPr>
    </w:lvl>
    <w:lvl w:ilvl="3">
      <w:start w:val="1"/>
      <w:numFmt w:val="bullet"/>
      <w:lvlText w:val="o"/>
      <w:lvlJc w:val="left"/>
      <w:pPr>
        <w:ind w:left="1800" w:hanging="360"/>
      </w:pPr>
      <w:rPr>
        <w:rFonts w:ascii="Times New Roman" w:hAnsi="Times New Roman" w:cs="Times New Roman" w:hint="default"/>
        <w:b w:val="0"/>
        <w:i w:val="0"/>
        <w:sz w:val="18"/>
      </w:rPr>
    </w:lvl>
    <w:lvl w:ilvl="4">
      <w:start w:val="1"/>
      <w:numFmt w:val="bullet"/>
      <w:lvlText w:val="▪"/>
      <w:lvlJc w:val="left"/>
      <w:pPr>
        <w:ind w:left="2160" w:hanging="360"/>
      </w:pPr>
      <w:rPr>
        <w:rFonts w:ascii="Times New Roman" w:hAnsi="Times New Roman" w:cs="Times New Roman" w:hint="default"/>
        <w:b w:val="0"/>
        <w:i w:val="0"/>
      </w:rPr>
    </w:lvl>
    <w:lvl w:ilvl="5">
      <w:start w:val="1"/>
      <w:numFmt w:val="none"/>
      <w:lvlText w:val=""/>
      <w:lvlJc w:val="left"/>
      <w:pPr>
        <w:ind w:left="2520" w:hanging="360"/>
      </w:pPr>
      <w:rPr>
        <w:rFonts w:hint="default"/>
      </w:rPr>
    </w:lvl>
    <w:lvl w:ilvl="6">
      <w:start w:val="1"/>
      <w:numFmt w:val="none"/>
      <w:lvlText w:val="%7"/>
      <w:lvlJc w:val="left"/>
      <w:pPr>
        <w:ind w:left="2880" w:hanging="360"/>
      </w:pPr>
      <w:rPr>
        <w:rFonts w:hint="default"/>
      </w:rPr>
    </w:lvl>
    <w:lvl w:ilvl="7">
      <w:start w:val="1"/>
      <w:numFmt w:val="none"/>
      <w:lvlText w:val="%8"/>
      <w:lvlJc w:val="left"/>
      <w:pPr>
        <w:ind w:left="3240" w:hanging="360"/>
      </w:pPr>
      <w:rPr>
        <w:rFonts w:hint="default"/>
      </w:rPr>
    </w:lvl>
    <w:lvl w:ilvl="8">
      <w:start w:val="1"/>
      <w:numFmt w:val="none"/>
      <w:lvlText w:val="%9"/>
      <w:lvlJc w:val="left"/>
      <w:pPr>
        <w:ind w:left="3600" w:hanging="360"/>
      </w:pPr>
      <w:rPr>
        <w:rFonts w:hint="default"/>
      </w:rPr>
    </w:lvl>
  </w:abstractNum>
  <w:abstractNum w:abstractNumId="37" w15:restartNumberingAfterBreak="0">
    <w:nsid w:val="6A44743D"/>
    <w:multiLevelType w:val="hybridMultilevel"/>
    <w:tmpl w:val="90521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F3B0D20"/>
    <w:multiLevelType w:val="hybridMultilevel"/>
    <w:tmpl w:val="193A2ADC"/>
    <w:lvl w:ilvl="0" w:tplc="04090019">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0425222"/>
    <w:multiLevelType w:val="hybridMultilevel"/>
    <w:tmpl w:val="2CB0A2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BD4155"/>
    <w:multiLevelType w:val="hybridMultilevel"/>
    <w:tmpl w:val="D7768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10D4844"/>
    <w:multiLevelType w:val="multilevel"/>
    <w:tmpl w:val="E094096A"/>
    <w:name w:val="Appendix Numbering"/>
    <w:lvl w:ilvl="0">
      <w:start w:val="1"/>
      <w:numFmt w:val="upperLetter"/>
      <w:suff w:val="space"/>
      <w:lvlText w:val="Appendix %1."/>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74843B34"/>
    <w:multiLevelType w:val="hybridMultilevel"/>
    <w:tmpl w:val="F4E804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64D30B0"/>
    <w:multiLevelType w:val="hybridMultilevel"/>
    <w:tmpl w:val="65EED07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E6837D9"/>
    <w:multiLevelType w:val="hybridMultilevel"/>
    <w:tmpl w:val="6CF8E8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F8022BD"/>
    <w:multiLevelType w:val="hybridMultilevel"/>
    <w:tmpl w:val="4246F5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01906315">
    <w:abstractNumId w:val="36"/>
  </w:num>
  <w:num w:numId="2" w16cid:durableId="1631936444">
    <w:abstractNumId w:val="19"/>
  </w:num>
  <w:num w:numId="3" w16cid:durableId="52972292">
    <w:abstractNumId w:val="18"/>
  </w:num>
  <w:num w:numId="4" w16cid:durableId="2133090107">
    <w:abstractNumId w:val="36"/>
  </w:num>
  <w:num w:numId="5" w16cid:durableId="684592787">
    <w:abstractNumId w:val="0"/>
  </w:num>
  <w:num w:numId="6" w16cid:durableId="109129881">
    <w:abstractNumId w:val="1"/>
  </w:num>
  <w:num w:numId="7" w16cid:durableId="985352844">
    <w:abstractNumId w:val="2"/>
  </w:num>
  <w:num w:numId="8" w16cid:durableId="1696924397">
    <w:abstractNumId w:val="3"/>
  </w:num>
  <w:num w:numId="9" w16cid:durableId="1663654447">
    <w:abstractNumId w:val="4"/>
  </w:num>
  <w:num w:numId="10" w16cid:durableId="93012692">
    <w:abstractNumId w:val="5"/>
  </w:num>
  <w:num w:numId="11" w16cid:durableId="1714422878">
    <w:abstractNumId w:val="6"/>
  </w:num>
  <w:num w:numId="12" w16cid:durableId="924000661">
    <w:abstractNumId w:val="7"/>
  </w:num>
  <w:num w:numId="13" w16cid:durableId="1636911990">
    <w:abstractNumId w:val="26"/>
  </w:num>
  <w:num w:numId="14" w16cid:durableId="740717187">
    <w:abstractNumId w:val="22"/>
  </w:num>
  <w:num w:numId="15" w16cid:durableId="1914973903">
    <w:abstractNumId w:val="22"/>
    <w:lvlOverride w:ilvl="0">
      <w:lvl w:ilvl="0">
        <w:start w:val="1"/>
        <w:numFmt w:val="decimal"/>
        <w:pStyle w:val="Heading1"/>
        <w:lvlText w:val="%1."/>
        <w:lvlJc w:val="left"/>
        <w:pPr>
          <w:ind w:left="360" w:hanging="360"/>
        </w:pPr>
        <w:rPr>
          <w:rFonts w:asciiTheme="majorHAnsi" w:hAnsiTheme="majorHAnsi" w:hint="default"/>
        </w:rPr>
      </w:lvl>
    </w:lvlOverride>
  </w:num>
  <w:num w:numId="16" w16cid:durableId="1765299573">
    <w:abstractNumId w:val="21"/>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22704860">
    <w:abstractNumId w:val="32"/>
  </w:num>
  <w:num w:numId="18" w16cid:durableId="2104256307">
    <w:abstractNumId w:val="34"/>
  </w:num>
  <w:num w:numId="19" w16cid:durableId="492836533">
    <w:abstractNumId w:val="31"/>
  </w:num>
  <w:num w:numId="20" w16cid:durableId="396364045">
    <w:abstractNumId w:val="14"/>
  </w:num>
  <w:num w:numId="21" w16cid:durableId="1156804703">
    <w:abstractNumId w:val="39"/>
  </w:num>
  <w:num w:numId="22" w16cid:durableId="94642190">
    <w:abstractNumId w:val="20"/>
  </w:num>
  <w:num w:numId="23" w16cid:durableId="581305018">
    <w:abstractNumId w:val="44"/>
  </w:num>
  <w:num w:numId="24" w16cid:durableId="1772118426">
    <w:abstractNumId w:val="9"/>
  </w:num>
  <w:num w:numId="25" w16cid:durableId="1201363952">
    <w:abstractNumId w:val="33"/>
  </w:num>
  <w:num w:numId="26" w16cid:durableId="975330296">
    <w:abstractNumId w:val="8"/>
  </w:num>
  <w:num w:numId="27" w16cid:durableId="182522325">
    <w:abstractNumId w:val="25"/>
  </w:num>
  <w:num w:numId="28" w16cid:durableId="743645389">
    <w:abstractNumId w:val="13"/>
  </w:num>
  <w:num w:numId="29" w16cid:durableId="1410469370">
    <w:abstractNumId w:val="35"/>
  </w:num>
  <w:num w:numId="30" w16cid:durableId="94865787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916238953">
    <w:abstractNumId w:val="18"/>
    <w:lvlOverride w:ilvl="0">
      <w:startOverride w:val="1"/>
      <w:lvl w:ilvl="0">
        <w:start w:val="1"/>
        <w:numFmt w:val="decimal"/>
        <w:pStyle w:val="ListNumber"/>
        <w:lvlText w:val=""/>
        <w:lvlJc w:val="left"/>
      </w:lvl>
    </w:lvlOverride>
    <w:lvlOverride w:ilvl="1">
      <w:startOverride w:val="1"/>
      <w:lvl w:ilvl="1">
        <w:start w:val="1"/>
        <w:numFmt w:val="lowerLetter"/>
        <w:lvlText w:val="%2."/>
        <w:lvlJc w:val="left"/>
        <w:pPr>
          <w:ind w:left="1080" w:hanging="360"/>
        </w:pPr>
        <w:rPr>
          <w:rFonts w:asciiTheme="minorHAnsi" w:hAnsiTheme="minorHAnsi" w:hint="default"/>
          <w:b w:val="0"/>
          <w:bCs w:val="0"/>
        </w:rPr>
      </w:lvl>
    </w:lvlOverride>
    <w:lvlOverride w:ilvl="2">
      <w:startOverride w:val="1"/>
      <w:lvl w:ilvl="2">
        <w:start w:val="1"/>
        <w:numFmt w:val="decimal"/>
        <w:lvlText w:val=""/>
        <w:lvlJc w:val="left"/>
      </w:lvl>
    </w:lvlOverride>
    <w:lvlOverride w:ilvl="3">
      <w:startOverride w:val="1"/>
      <w:lvl w:ilvl="3">
        <w:start w:val="1"/>
        <w:numFmt w:val="decimal"/>
        <w:lvlText w:val=""/>
        <w:lvlJc w:val="left"/>
      </w:lvl>
    </w:lvlOverride>
    <w:lvlOverride w:ilvl="4">
      <w:startOverride w:val="1"/>
      <w:lvl w:ilvl="4">
        <w:start w:val="1"/>
        <w:numFmt w:val="decimal"/>
        <w:lvlText w:val=""/>
        <w:lvlJc w:val="left"/>
      </w:lvl>
    </w:lvlOverride>
  </w:num>
  <w:num w:numId="32" w16cid:durableId="2094013283">
    <w:abstractNumId w:val="37"/>
  </w:num>
  <w:num w:numId="33" w16cid:durableId="1240871444">
    <w:abstractNumId w:val="17"/>
  </w:num>
  <w:num w:numId="34" w16cid:durableId="1699238920">
    <w:abstractNumId w:val="30"/>
  </w:num>
  <w:num w:numId="35" w16cid:durableId="1958558647">
    <w:abstractNumId w:val="16"/>
  </w:num>
  <w:num w:numId="36" w16cid:durableId="260534783">
    <w:abstractNumId w:val="24"/>
  </w:num>
  <w:num w:numId="37" w16cid:durableId="349181282">
    <w:abstractNumId w:val="45"/>
  </w:num>
  <w:num w:numId="38" w16cid:durableId="2039508461">
    <w:abstractNumId w:val="27"/>
  </w:num>
  <w:num w:numId="39" w16cid:durableId="1687781350">
    <w:abstractNumId w:val="42"/>
  </w:num>
  <w:num w:numId="40" w16cid:durableId="1977685103">
    <w:abstractNumId w:val="43"/>
  </w:num>
  <w:num w:numId="41" w16cid:durableId="2142259731">
    <w:abstractNumId w:val="28"/>
  </w:num>
  <w:num w:numId="42" w16cid:durableId="1992126302">
    <w:abstractNumId w:val="29"/>
  </w:num>
  <w:num w:numId="43" w16cid:durableId="861937908">
    <w:abstractNumId w:val="11"/>
  </w:num>
  <w:num w:numId="44" w16cid:durableId="1595938957">
    <w:abstractNumId w:val="12"/>
  </w:num>
  <w:num w:numId="45" w16cid:durableId="319503502">
    <w:abstractNumId w:val="38"/>
  </w:num>
  <w:num w:numId="46" w16cid:durableId="1361593178">
    <w:abstractNumId w:val="10"/>
  </w:num>
  <w:num w:numId="47" w16cid:durableId="65231709">
    <w:abstractNumId w:val="40"/>
  </w:num>
  <w:num w:numId="48" w16cid:durableId="1449658788">
    <w:abstractNumId w:val="1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0" w:nlCheck="1" w:checkStyle="0"/>
  <w:proofState w:spelling="clean" w:grammar="clean"/>
  <w:attachedTemplate r:id="rId1"/>
  <w:defaultTabStop w:val="720"/>
  <w:characterSpacingControl w:val="doNotCompress"/>
  <w:hdrShapeDefaults>
    <o:shapedefaults v:ext="edit" spidmax="2050"/>
  </w:hdrShapeDefaults>
  <w:footnotePr>
    <w:footnote w:id="-1"/>
    <w:footnote w:id="0"/>
    <w:footnote w:id="1"/>
  </w:footnotePr>
  <w:endnotePr>
    <w:pos w:val="sectEnd"/>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tbS0tDC2sDA1szQzsTRR0lEKTi0uzszPAykwNqgFAM3tYWctAAAA"/>
  </w:docVars>
  <w:rsids>
    <w:rsidRoot w:val="00A23D33"/>
    <w:rsid w:val="00000235"/>
    <w:rsid w:val="00000565"/>
    <w:rsid w:val="000007C5"/>
    <w:rsid w:val="0000080A"/>
    <w:rsid w:val="00000F95"/>
    <w:rsid w:val="00001357"/>
    <w:rsid w:val="00001A1C"/>
    <w:rsid w:val="0000248B"/>
    <w:rsid w:val="00002565"/>
    <w:rsid w:val="000028B6"/>
    <w:rsid w:val="0000290F"/>
    <w:rsid w:val="00002B78"/>
    <w:rsid w:val="00003493"/>
    <w:rsid w:val="00003A8E"/>
    <w:rsid w:val="00003E80"/>
    <w:rsid w:val="0000406F"/>
    <w:rsid w:val="000040A2"/>
    <w:rsid w:val="00004CFD"/>
    <w:rsid w:val="000051B1"/>
    <w:rsid w:val="00005A8D"/>
    <w:rsid w:val="00005D56"/>
    <w:rsid w:val="0000611C"/>
    <w:rsid w:val="00006141"/>
    <w:rsid w:val="000061D1"/>
    <w:rsid w:val="00006C47"/>
    <w:rsid w:val="000077BD"/>
    <w:rsid w:val="00007978"/>
    <w:rsid w:val="0000798D"/>
    <w:rsid w:val="00007BEE"/>
    <w:rsid w:val="00007D6F"/>
    <w:rsid w:val="000100D3"/>
    <w:rsid w:val="0001071A"/>
    <w:rsid w:val="0001089F"/>
    <w:rsid w:val="00010A29"/>
    <w:rsid w:val="00010C47"/>
    <w:rsid w:val="000116BD"/>
    <w:rsid w:val="0001199D"/>
    <w:rsid w:val="00011E25"/>
    <w:rsid w:val="00011FED"/>
    <w:rsid w:val="00012AF0"/>
    <w:rsid w:val="00012AF2"/>
    <w:rsid w:val="00012BA6"/>
    <w:rsid w:val="00012D0A"/>
    <w:rsid w:val="00012E4A"/>
    <w:rsid w:val="00012F63"/>
    <w:rsid w:val="000133FF"/>
    <w:rsid w:val="00013CB4"/>
    <w:rsid w:val="000145EC"/>
    <w:rsid w:val="00014CC5"/>
    <w:rsid w:val="00015132"/>
    <w:rsid w:val="000156BA"/>
    <w:rsid w:val="0001579D"/>
    <w:rsid w:val="0001579F"/>
    <w:rsid w:val="00015965"/>
    <w:rsid w:val="00015A16"/>
    <w:rsid w:val="00015A52"/>
    <w:rsid w:val="00015E23"/>
    <w:rsid w:val="00016143"/>
    <w:rsid w:val="00016D6F"/>
    <w:rsid w:val="00016F05"/>
    <w:rsid w:val="00017237"/>
    <w:rsid w:val="00017326"/>
    <w:rsid w:val="00017562"/>
    <w:rsid w:val="000176D7"/>
    <w:rsid w:val="00017FCF"/>
    <w:rsid w:val="00020257"/>
    <w:rsid w:val="0002055A"/>
    <w:rsid w:val="00021124"/>
    <w:rsid w:val="000212DE"/>
    <w:rsid w:val="00021519"/>
    <w:rsid w:val="00021E83"/>
    <w:rsid w:val="0002234E"/>
    <w:rsid w:val="000237ED"/>
    <w:rsid w:val="0002389E"/>
    <w:rsid w:val="00023D1E"/>
    <w:rsid w:val="0002410D"/>
    <w:rsid w:val="00024157"/>
    <w:rsid w:val="00024B97"/>
    <w:rsid w:val="00025438"/>
    <w:rsid w:val="000257A2"/>
    <w:rsid w:val="00025801"/>
    <w:rsid w:val="000260A8"/>
    <w:rsid w:val="000264C5"/>
    <w:rsid w:val="00026EBD"/>
    <w:rsid w:val="000274EA"/>
    <w:rsid w:val="00030140"/>
    <w:rsid w:val="00030DAE"/>
    <w:rsid w:val="000315D0"/>
    <w:rsid w:val="000315E3"/>
    <w:rsid w:val="00031671"/>
    <w:rsid w:val="00031B13"/>
    <w:rsid w:val="000321B3"/>
    <w:rsid w:val="000327C5"/>
    <w:rsid w:val="000327D7"/>
    <w:rsid w:val="00032CAA"/>
    <w:rsid w:val="00032E08"/>
    <w:rsid w:val="00032E27"/>
    <w:rsid w:val="0003300C"/>
    <w:rsid w:val="00033307"/>
    <w:rsid w:val="00033AD5"/>
    <w:rsid w:val="0003448E"/>
    <w:rsid w:val="00034E91"/>
    <w:rsid w:val="00035148"/>
    <w:rsid w:val="00035172"/>
    <w:rsid w:val="000359E6"/>
    <w:rsid w:val="000364A0"/>
    <w:rsid w:val="0003690A"/>
    <w:rsid w:val="00036EF1"/>
    <w:rsid w:val="0003773B"/>
    <w:rsid w:val="00037B59"/>
    <w:rsid w:val="00037F94"/>
    <w:rsid w:val="000402F7"/>
    <w:rsid w:val="00040C21"/>
    <w:rsid w:val="0004160E"/>
    <w:rsid w:val="0004195E"/>
    <w:rsid w:val="00041CBC"/>
    <w:rsid w:val="00041F34"/>
    <w:rsid w:val="00041F43"/>
    <w:rsid w:val="000420F6"/>
    <w:rsid w:val="000423E6"/>
    <w:rsid w:val="0004263D"/>
    <w:rsid w:val="000436BC"/>
    <w:rsid w:val="00043BEB"/>
    <w:rsid w:val="00043E9D"/>
    <w:rsid w:val="00044206"/>
    <w:rsid w:val="00044588"/>
    <w:rsid w:val="00046662"/>
    <w:rsid w:val="0004680D"/>
    <w:rsid w:val="00047052"/>
    <w:rsid w:val="0004709F"/>
    <w:rsid w:val="0004727D"/>
    <w:rsid w:val="00047758"/>
    <w:rsid w:val="000501FC"/>
    <w:rsid w:val="00050B59"/>
    <w:rsid w:val="0005124C"/>
    <w:rsid w:val="00051A95"/>
    <w:rsid w:val="0005223C"/>
    <w:rsid w:val="00052502"/>
    <w:rsid w:val="000525CF"/>
    <w:rsid w:val="000536BA"/>
    <w:rsid w:val="00053767"/>
    <w:rsid w:val="00053B2E"/>
    <w:rsid w:val="000552E7"/>
    <w:rsid w:val="00055A26"/>
    <w:rsid w:val="00055CE4"/>
    <w:rsid w:val="00055D06"/>
    <w:rsid w:val="000561E7"/>
    <w:rsid w:val="0005637F"/>
    <w:rsid w:val="0005645B"/>
    <w:rsid w:val="0005646E"/>
    <w:rsid w:val="00056B07"/>
    <w:rsid w:val="000579FD"/>
    <w:rsid w:val="00057AFB"/>
    <w:rsid w:val="000600E6"/>
    <w:rsid w:val="00060558"/>
    <w:rsid w:val="00060B2B"/>
    <w:rsid w:val="000610F5"/>
    <w:rsid w:val="000613E4"/>
    <w:rsid w:val="000618A5"/>
    <w:rsid w:val="00061C54"/>
    <w:rsid w:val="000629B3"/>
    <w:rsid w:val="00062CC8"/>
    <w:rsid w:val="00063684"/>
    <w:rsid w:val="00063DE5"/>
    <w:rsid w:val="00064FBE"/>
    <w:rsid w:val="00065592"/>
    <w:rsid w:val="00065841"/>
    <w:rsid w:val="00065C67"/>
    <w:rsid w:val="00065D77"/>
    <w:rsid w:val="00065FB6"/>
    <w:rsid w:val="00065FF2"/>
    <w:rsid w:val="000660E2"/>
    <w:rsid w:val="00066329"/>
    <w:rsid w:val="000663D8"/>
    <w:rsid w:val="0006642B"/>
    <w:rsid w:val="00066534"/>
    <w:rsid w:val="00066A36"/>
    <w:rsid w:val="00066E99"/>
    <w:rsid w:val="000674D4"/>
    <w:rsid w:val="00067555"/>
    <w:rsid w:val="00067947"/>
    <w:rsid w:val="00067A13"/>
    <w:rsid w:val="00067E75"/>
    <w:rsid w:val="00070505"/>
    <w:rsid w:val="00070542"/>
    <w:rsid w:val="00070768"/>
    <w:rsid w:val="00071205"/>
    <w:rsid w:val="0007134A"/>
    <w:rsid w:val="0007188A"/>
    <w:rsid w:val="00071B6E"/>
    <w:rsid w:val="00071C79"/>
    <w:rsid w:val="00072103"/>
    <w:rsid w:val="00073349"/>
    <w:rsid w:val="0007347B"/>
    <w:rsid w:val="000735C9"/>
    <w:rsid w:val="000737FC"/>
    <w:rsid w:val="00073B0C"/>
    <w:rsid w:val="00073D3C"/>
    <w:rsid w:val="00073FDA"/>
    <w:rsid w:val="0007404D"/>
    <w:rsid w:val="000744B9"/>
    <w:rsid w:val="00074C3E"/>
    <w:rsid w:val="00075519"/>
    <w:rsid w:val="00075610"/>
    <w:rsid w:val="00075796"/>
    <w:rsid w:val="0007595D"/>
    <w:rsid w:val="000778AB"/>
    <w:rsid w:val="0007792D"/>
    <w:rsid w:val="0008086F"/>
    <w:rsid w:val="00080F0A"/>
    <w:rsid w:val="000810C5"/>
    <w:rsid w:val="000814EA"/>
    <w:rsid w:val="00081B31"/>
    <w:rsid w:val="00081D5F"/>
    <w:rsid w:val="0008254E"/>
    <w:rsid w:val="0008276B"/>
    <w:rsid w:val="0008294F"/>
    <w:rsid w:val="00082A91"/>
    <w:rsid w:val="0008357A"/>
    <w:rsid w:val="000835DA"/>
    <w:rsid w:val="00083FCD"/>
    <w:rsid w:val="00084313"/>
    <w:rsid w:val="00084605"/>
    <w:rsid w:val="00084A4E"/>
    <w:rsid w:val="000850AB"/>
    <w:rsid w:val="00085553"/>
    <w:rsid w:val="00085790"/>
    <w:rsid w:val="0008593F"/>
    <w:rsid w:val="00085A66"/>
    <w:rsid w:val="00086135"/>
    <w:rsid w:val="00086C29"/>
    <w:rsid w:val="00086C63"/>
    <w:rsid w:val="0008766F"/>
    <w:rsid w:val="0008767B"/>
    <w:rsid w:val="000876BC"/>
    <w:rsid w:val="00087F40"/>
    <w:rsid w:val="00090348"/>
    <w:rsid w:val="00090451"/>
    <w:rsid w:val="000905BB"/>
    <w:rsid w:val="000907C5"/>
    <w:rsid w:val="00090D0B"/>
    <w:rsid w:val="000915DB"/>
    <w:rsid w:val="00091DA7"/>
    <w:rsid w:val="00092303"/>
    <w:rsid w:val="00092420"/>
    <w:rsid w:val="00092795"/>
    <w:rsid w:val="00092AA9"/>
    <w:rsid w:val="00092CCC"/>
    <w:rsid w:val="00092F94"/>
    <w:rsid w:val="00092FBF"/>
    <w:rsid w:val="000937CD"/>
    <w:rsid w:val="0009499B"/>
    <w:rsid w:val="00094E2B"/>
    <w:rsid w:val="00094E64"/>
    <w:rsid w:val="00095A16"/>
    <w:rsid w:val="00095E60"/>
    <w:rsid w:val="00095FF2"/>
    <w:rsid w:val="000960EA"/>
    <w:rsid w:val="00096948"/>
    <w:rsid w:val="00096B6A"/>
    <w:rsid w:val="00096C70"/>
    <w:rsid w:val="00097224"/>
    <w:rsid w:val="00097633"/>
    <w:rsid w:val="00097EBC"/>
    <w:rsid w:val="00097ECC"/>
    <w:rsid w:val="00097F70"/>
    <w:rsid w:val="000A06EA"/>
    <w:rsid w:val="000A126D"/>
    <w:rsid w:val="000A1DD9"/>
    <w:rsid w:val="000A21E3"/>
    <w:rsid w:val="000A24DF"/>
    <w:rsid w:val="000A2646"/>
    <w:rsid w:val="000A29D5"/>
    <w:rsid w:val="000A2AB0"/>
    <w:rsid w:val="000A2C88"/>
    <w:rsid w:val="000A324F"/>
    <w:rsid w:val="000A34C2"/>
    <w:rsid w:val="000A3EB9"/>
    <w:rsid w:val="000A4029"/>
    <w:rsid w:val="000A40A8"/>
    <w:rsid w:val="000A43A5"/>
    <w:rsid w:val="000A47C5"/>
    <w:rsid w:val="000A4B81"/>
    <w:rsid w:val="000A5A96"/>
    <w:rsid w:val="000A66B3"/>
    <w:rsid w:val="000A69E3"/>
    <w:rsid w:val="000A78F4"/>
    <w:rsid w:val="000A7942"/>
    <w:rsid w:val="000A79E6"/>
    <w:rsid w:val="000A7B28"/>
    <w:rsid w:val="000A7BAB"/>
    <w:rsid w:val="000B0EF6"/>
    <w:rsid w:val="000B166C"/>
    <w:rsid w:val="000B185F"/>
    <w:rsid w:val="000B1A86"/>
    <w:rsid w:val="000B21B8"/>
    <w:rsid w:val="000B3237"/>
    <w:rsid w:val="000B3801"/>
    <w:rsid w:val="000B4316"/>
    <w:rsid w:val="000B5257"/>
    <w:rsid w:val="000B56BE"/>
    <w:rsid w:val="000B5989"/>
    <w:rsid w:val="000B5C4D"/>
    <w:rsid w:val="000B6034"/>
    <w:rsid w:val="000B62AC"/>
    <w:rsid w:val="000B7A25"/>
    <w:rsid w:val="000C04FE"/>
    <w:rsid w:val="000C0B13"/>
    <w:rsid w:val="000C0B17"/>
    <w:rsid w:val="000C10FA"/>
    <w:rsid w:val="000C1260"/>
    <w:rsid w:val="000C1BE2"/>
    <w:rsid w:val="000C1BFE"/>
    <w:rsid w:val="000C2404"/>
    <w:rsid w:val="000C31F1"/>
    <w:rsid w:val="000C3468"/>
    <w:rsid w:val="000C3EEB"/>
    <w:rsid w:val="000C4172"/>
    <w:rsid w:val="000C5643"/>
    <w:rsid w:val="000C5B87"/>
    <w:rsid w:val="000C6580"/>
    <w:rsid w:val="000C6614"/>
    <w:rsid w:val="000C664B"/>
    <w:rsid w:val="000C68CD"/>
    <w:rsid w:val="000C6A06"/>
    <w:rsid w:val="000C6E49"/>
    <w:rsid w:val="000C746F"/>
    <w:rsid w:val="000C76A2"/>
    <w:rsid w:val="000D006B"/>
    <w:rsid w:val="000D03C7"/>
    <w:rsid w:val="000D11D4"/>
    <w:rsid w:val="000D13A8"/>
    <w:rsid w:val="000D1600"/>
    <w:rsid w:val="000D195F"/>
    <w:rsid w:val="000D21C7"/>
    <w:rsid w:val="000D2470"/>
    <w:rsid w:val="000D25F7"/>
    <w:rsid w:val="000D274D"/>
    <w:rsid w:val="000D275E"/>
    <w:rsid w:val="000D2858"/>
    <w:rsid w:val="000D2C1C"/>
    <w:rsid w:val="000D2C33"/>
    <w:rsid w:val="000D2CFE"/>
    <w:rsid w:val="000D30EB"/>
    <w:rsid w:val="000D31AB"/>
    <w:rsid w:val="000D35CC"/>
    <w:rsid w:val="000D46F7"/>
    <w:rsid w:val="000D4E0E"/>
    <w:rsid w:val="000D50F9"/>
    <w:rsid w:val="000D53A9"/>
    <w:rsid w:val="000D56A7"/>
    <w:rsid w:val="000D63BC"/>
    <w:rsid w:val="000D660A"/>
    <w:rsid w:val="000D6B59"/>
    <w:rsid w:val="000D6BD9"/>
    <w:rsid w:val="000D6DD2"/>
    <w:rsid w:val="000D7212"/>
    <w:rsid w:val="000D743A"/>
    <w:rsid w:val="000D77EC"/>
    <w:rsid w:val="000D7AAF"/>
    <w:rsid w:val="000E037F"/>
    <w:rsid w:val="000E0572"/>
    <w:rsid w:val="000E059A"/>
    <w:rsid w:val="000E0611"/>
    <w:rsid w:val="000E0C6F"/>
    <w:rsid w:val="000E10E7"/>
    <w:rsid w:val="000E134A"/>
    <w:rsid w:val="000E165C"/>
    <w:rsid w:val="000E18D0"/>
    <w:rsid w:val="000E1B01"/>
    <w:rsid w:val="000E2057"/>
    <w:rsid w:val="000E2604"/>
    <w:rsid w:val="000E2A70"/>
    <w:rsid w:val="000E2C81"/>
    <w:rsid w:val="000E2E05"/>
    <w:rsid w:val="000E2E2E"/>
    <w:rsid w:val="000E2E7E"/>
    <w:rsid w:val="000E2F3F"/>
    <w:rsid w:val="000E31AD"/>
    <w:rsid w:val="000E3C4E"/>
    <w:rsid w:val="000E4C8A"/>
    <w:rsid w:val="000E4CA7"/>
    <w:rsid w:val="000E5D61"/>
    <w:rsid w:val="000E5E6C"/>
    <w:rsid w:val="000E6E48"/>
    <w:rsid w:val="000E7164"/>
    <w:rsid w:val="000E744D"/>
    <w:rsid w:val="000E7620"/>
    <w:rsid w:val="000E7E5A"/>
    <w:rsid w:val="000F01D1"/>
    <w:rsid w:val="000F0307"/>
    <w:rsid w:val="000F035B"/>
    <w:rsid w:val="000F036E"/>
    <w:rsid w:val="000F08C1"/>
    <w:rsid w:val="000F0BC8"/>
    <w:rsid w:val="000F0DAD"/>
    <w:rsid w:val="000F0F94"/>
    <w:rsid w:val="000F13CD"/>
    <w:rsid w:val="000F153B"/>
    <w:rsid w:val="000F2EF5"/>
    <w:rsid w:val="000F3577"/>
    <w:rsid w:val="000F3683"/>
    <w:rsid w:val="000F3A4F"/>
    <w:rsid w:val="000F3F1D"/>
    <w:rsid w:val="000F448D"/>
    <w:rsid w:val="000F517E"/>
    <w:rsid w:val="000F56A0"/>
    <w:rsid w:val="000F5C49"/>
    <w:rsid w:val="000F5F3E"/>
    <w:rsid w:val="000F6520"/>
    <w:rsid w:val="000F6918"/>
    <w:rsid w:val="000F6B08"/>
    <w:rsid w:val="000F6D0A"/>
    <w:rsid w:val="000F7F02"/>
    <w:rsid w:val="00100866"/>
    <w:rsid w:val="00100CB3"/>
    <w:rsid w:val="00100CD4"/>
    <w:rsid w:val="00101178"/>
    <w:rsid w:val="00101A30"/>
    <w:rsid w:val="00101C06"/>
    <w:rsid w:val="00102727"/>
    <w:rsid w:val="001028CF"/>
    <w:rsid w:val="00102C62"/>
    <w:rsid w:val="00102F99"/>
    <w:rsid w:val="0010320F"/>
    <w:rsid w:val="00103526"/>
    <w:rsid w:val="00103BE7"/>
    <w:rsid w:val="00103E5C"/>
    <w:rsid w:val="00105BD8"/>
    <w:rsid w:val="001061F7"/>
    <w:rsid w:val="001063D6"/>
    <w:rsid w:val="001066EC"/>
    <w:rsid w:val="0010677F"/>
    <w:rsid w:val="0010683A"/>
    <w:rsid w:val="00106D61"/>
    <w:rsid w:val="00107188"/>
    <w:rsid w:val="00107536"/>
    <w:rsid w:val="0011134B"/>
    <w:rsid w:val="00111D9E"/>
    <w:rsid w:val="001127BF"/>
    <w:rsid w:val="00112A34"/>
    <w:rsid w:val="00112A4F"/>
    <w:rsid w:val="00112F58"/>
    <w:rsid w:val="00113140"/>
    <w:rsid w:val="00113C78"/>
    <w:rsid w:val="00113FFE"/>
    <w:rsid w:val="001143B5"/>
    <w:rsid w:val="00114987"/>
    <w:rsid w:val="00115140"/>
    <w:rsid w:val="00115245"/>
    <w:rsid w:val="001155DF"/>
    <w:rsid w:val="0011579F"/>
    <w:rsid w:val="00115C79"/>
    <w:rsid w:val="00115E23"/>
    <w:rsid w:val="0011638F"/>
    <w:rsid w:val="0011660F"/>
    <w:rsid w:val="00117503"/>
    <w:rsid w:val="001207E7"/>
    <w:rsid w:val="00120814"/>
    <w:rsid w:val="00120F9C"/>
    <w:rsid w:val="001214AF"/>
    <w:rsid w:val="0012164D"/>
    <w:rsid w:val="00121D37"/>
    <w:rsid w:val="00121ED3"/>
    <w:rsid w:val="00122615"/>
    <w:rsid w:val="00122C1F"/>
    <w:rsid w:val="00122E7F"/>
    <w:rsid w:val="00123622"/>
    <w:rsid w:val="001239FC"/>
    <w:rsid w:val="001254F3"/>
    <w:rsid w:val="0012655C"/>
    <w:rsid w:val="001266B0"/>
    <w:rsid w:val="00126787"/>
    <w:rsid w:val="00127036"/>
    <w:rsid w:val="001272A5"/>
    <w:rsid w:val="0013047D"/>
    <w:rsid w:val="001308B3"/>
    <w:rsid w:val="00130EEB"/>
    <w:rsid w:val="00132A93"/>
    <w:rsid w:val="00132E8F"/>
    <w:rsid w:val="00133BDD"/>
    <w:rsid w:val="00134031"/>
    <w:rsid w:val="001341E2"/>
    <w:rsid w:val="00134459"/>
    <w:rsid w:val="00134797"/>
    <w:rsid w:val="001349D3"/>
    <w:rsid w:val="001357A7"/>
    <w:rsid w:val="00135A83"/>
    <w:rsid w:val="00135EC3"/>
    <w:rsid w:val="001362AB"/>
    <w:rsid w:val="00136354"/>
    <w:rsid w:val="00136447"/>
    <w:rsid w:val="00136CED"/>
    <w:rsid w:val="00136D00"/>
    <w:rsid w:val="0013707F"/>
    <w:rsid w:val="00140035"/>
    <w:rsid w:val="00140A2C"/>
    <w:rsid w:val="00140FA4"/>
    <w:rsid w:val="001413BF"/>
    <w:rsid w:val="0014143D"/>
    <w:rsid w:val="00142160"/>
    <w:rsid w:val="0014294D"/>
    <w:rsid w:val="00142CAB"/>
    <w:rsid w:val="001430FA"/>
    <w:rsid w:val="00143150"/>
    <w:rsid w:val="00143947"/>
    <w:rsid w:val="00143DDB"/>
    <w:rsid w:val="0014423E"/>
    <w:rsid w:val="0014436F"/>
    <w:rsid w:val="00144D74"/>
    <w:rsid w:val="00144E2D"/>
    <w:rsid w:val="00145EC5"/>
    <w:rsid w:val="001464D4"/>
    <w:rsid w:val="0014684C"/>
    <w:rsid w:val="00146C23"/>
    <w:rsid w:val="00146FEB"/>
    <w:rsid w:val="001501C1"/>
    <w:rsid w:val="00150871"/>
    <w:rsid w:val="00150E68"/>
    <w:rsid w:val="00151768"/>
    <w:rsid w:val="00151B1F"/>
    <w:rsid w:val="00151CD0"/>
    <w:rsid w:val="00152057"/>
    <w:rsid w:val="001528B1"/>
    <w:rsid w:val="00153B47"/>
    <w:rsid w:val="00153C14"/>
    <w:rsid w:val="00153EC5"/>
    <w:rsid w:val="00153F66"/>
    <w:rsid w:val="00154235"/>
    <w:rsid w:val="0015449E"/>
    <w:rsid w:val="001547E3"/>
    <w:rsid w:val="00154ABC"/>
    <w:rsid w:val="00154C9A"/>
    <w:rsid w:val="00155045"/>
    <w:rsid w:val="001554A5"/>
    <w:rsid w:val="00156088"/>
    <w:rsid w:val="00156802"/>
    <w:rsid w:val="00156F10"/>
    <w:rsid w:val="00157305"/>
    <w:rsid w:val="0015743A"/>
    <w:rsid w:val="001575CC"/>
    <w:rsid w:val="001576A7"/>
    <w:rsid w:val="0016085A"/>
    <w:rsid w:val="001609EA"/>
    <w:rsid w:val="00161BB5"/>
    <w:rsid w:val="00161C9D"/>
    <w:rsid w:val="00161EA8"/>
    <w:rsid w:val="00162F18"/>
    <w:rsid w:val="00163DA1"/>
    <w:rsid w:val="0016425A"/>
    <w:rsid w:val="001642C7"/>
    <w:rsid w:val="001650B6"/>
    <w:rsid w:val="00165261"/>
    <w:rsid w:val="001654A9"/>
    <w:rsid w:val="0016553E"/>
    <w:rsid w:val="00166062"/>
    <w:rsid w:val="001661EF"/>
    <w:rsid w:val="001670BB"/>
    <w:rsid w:val="0016744D"/>
    <w:rsid w:val="0016748F"/>
    <w:rsid w:val="00170A04"/>
    <w:rsid w:val="00170EA6"/>
    <w:rsid w:val="00170F7E"/>
    <w:rsid w:val="00171C21"/>
    <w:rsid w:val="00171C7E"/>
    <w:rsid w:val="00171D9D"/>
    <w:rsid w:val="00171DCD"/>
    <w:rsid w:val="0017214A"/>
    <w:rsid w:val="00172A4B"/>
    <w:rsid w:val="00172EAD"/>
    <w:rsid w:val="0017323F"/>
    <w:rsid w:val="0017356F"/>
    <w:rsid w:val="00173B3A"/>
    <w:rsid w:val="00173DCF"/>
    <w:rsid w:val="00173E34"/>
    <w:rsid w:val="00174799"/>
    <w:rsid w:val="00174CB1"/>
    <w:rsid w:val="00175CB1"/>
    <w:rsid w:val="0017632A"/>
    <w:rsid w:val="00176524"/>
    <w:rsid w:val="00176B57"/>
    <w:rsid w:val="00177E5C"/>
    <w:rsid w:val="001802E2"/>
    <w:rsid w:val="001803D2"/>
    <w:rsid w:val="00180878"/>
    <w:rsid w:val="00180942"/>
    <w:rsid w:val="001815C7"/>
    <w:rsid w:val="00181B42"/>
    <w:rsid w:val="00181D43"/>
    <w:rsid w:val="00182D20"/>
    <w:rsid w:val="00182F40"/>
    <w:rsid w:val="001831B1"/>
    <w:rsid w:val="00183473"/>
    <w:rsid w:val="001835A1"/>
    <w:rsid w:val="00183648"/>
    <w:rsid w:val="001841F7"/>
    <w:rsid w:val="00184558"/>
    <w:rsid w:val="00184BFC"/>
    <w:rsid w:val="00185538"/>
    <w:rsid w:val="00186D3E"/>
    <w:rsid w:val="00186DAC"/>
    <w:rsid w:val="001871CE"/>
    <w:rsid w:val="001873E2"/>
    <w:rsid w:val="001875D7"/>
    <w:rsid w:val="00187D1D"/>
    <w:rsid w:val="00187F7B"/>
    <w:rsid w:val="00190071"/>
    <w:rsid w:val="00191155"/>
    <w:rsid w:val="00191293"/>
    <w:rsid w:val="00191FA0"/>
    <w:rsid w:val="001922EF"/>
    <w:rsid w:val="00192A4E"/>
    <w:rsid w:val="00192F29"/>
    <w:rsid w:val="001932E1"/>
    <w:rsid w:val="0019333E"/>
    <w:rsid w:val="0019337C"/>
    <w:rsid w:val="001934C3"/>
    <w:rsid w:val="001935D7"/>
    <w:rsid w:val="001936C0"/>
    <w:rsid w:val="001939C5"/>
    <w:rsid w:val="00193E6C"/>
    <w:rsid w:val="00193EB4"/>
    <w:rsid w:val="001943AE"/>
    <w:rsid w:val="001944D7"/>
    <w:rsid w:val="001946B8"/>
    <w:rsid w:val="00194DCD"/>
    <w:rsid w:val="00195613"/>
    <w:rsid w:val="00195AA3"/>
    <w:rsid w:val="00196D33"/>
    <w:rsid w:val="00197061"/>
    <w:rsid w:val="00197306"/>
    <w:rsid w:val="001973A7"/>
    <w:rsid w:val="00197EF6"/>
    <w:rsid w:val="001A02AC"/>
    <w:rsid w:val="001A053A"/>
    <w:rsid w:val="001A0904"/>
    <w:rsid w:val="001A1778"/>
    <w:rsid w:val="001A1FA8"/>
    <w:rsid w:val="001A22F8"/>
    <w:rsid w:val="001A26C7"/>
    <w:rsid w:val="001A2B18"/>
    <w:rsid w:val="001A379D"/>
    <w:rsid w:val="001A3C92"/>
    <w:rsid w:val="001A3CA4"/>
    <w:rsid w:val="001A40ED"/>
    <w:rsid w:val="001A421A"/>
    <w:rsid w:val="001A42A6"/>
    <w:rsid w:val="001A4569"/>
    <w:rsid w:val="001A489C"/>
    <w:rsid w:val="001A4C8E"/>
    <w:rsid w:val="001A4FFB"/>
    <w:rsid w:val="001A54D6"/>
    <w:rsid w:val="001A5545"/>
    <w:rsid w:val="001A5B27"/>
    <w:rsid w:val="001A5C85"/>
    <w:rsid w:val="001A5E4E"/>
    <w:rsid w:val="001A5FBF"/>
    <w:rsid w:val="001A64CA"/>
    <w:rsid w:val="001A6A26"/>
    <w:rsid w:val="001A6C13"/>
    <w:rsid w:val="001A6ED0"/>
    <w:rsid w:val="001A7A7D"/>
    <w:rsid w:val="001A7AA5"/>
    <w:rsid w:val="001B06E2"/>
    <w:rsid w:val="001B084A"/>
    <w:rsid w:val="001B0B40"/>
    <w:rsid w:val="001B0B4F"/>
    <w:rsid w:val="001B0CD0"/>
    <w:rsid w:val="001B0E61"/>
    <w:rsid w:val="001B236A"/>
    <w:rsid w:val="001B2457"/>
    <w:rsid w:val="001B2650"/>
    <w:rsid w:val="001B2796"/>
    <w:rsid w:val="001B284E"/>
    <w:rsid w:val="001B2EA4"/>
    <w:rsid w:val="001B3437"/>
    <w:rsid w:val="001B3774"/>
    <w:rsid w:val="001B3AEA"/>
    <w:rsid w:val="001B3DC0"/>
    <w:rsid w:val="001B481C"/>
    <w:rsid w:val="001B49C5"/>
    <w:rsid w:val="001B4CF9"/>
    <w:rsid w:val="001B5F46"/>
    <w:rsid w:val="001B646D"/>
    <w:rsid w:val="001B7195"/>
    <w:rsid w:val="001B724B"/>
    <w:rsid w:val="001C00E6"/>
    <w:rsid w:val="001C01A2"/>
    <w:rsid w:val="001C0419"/>
    <w:rsid w:val="001C072C"/>
    <w:rsid w:val="001C0A7C"/>
    <w:rsid w:val="001C166B"/>
    <w:rsid w:val="001C1C86"/>
    <w:rsid w:val="001C3494"/>
    <w:rsid w:val="001C3796"/>
    <w:rsid w:val="001C3845"/>
    <w:rsid w:val="001C3F84"/>
    <w:rsid w:val="001C4482"/>
    <w:rsid w:val="001C45E2"/>
    <w:rsid w:val="001C4A28"/>
    <w:rsid w:val="001C4E82"/>
    <w:rsid w:val="001C5860"/>
    <w:rsid w:val="001C66F4"/>
    <w:rsid w:val="001C679C"/>
    <w:rsid w:val="001C69E5"/>
    <w:rsid w:val="001C6F2C"/>
    <w:rsid w:val="001C7386"/>
    <w:rsid w:val="001C7442"/>
    <w:rsid w:val="001C79D7"/>
    <w:rsid w:val="001D0826"/>
    <w:rsid w:val="001D1249"/>
    <w:rsid w:val="001D1B4F"/>
    <w:rsid w:val="001D1E5A"/>
    <w:rsid w:val="001D234E"/>
    <w:rsid w:val="001D2B4C"/>
    <w:rsid w:val="001D2BD2"/>
    <w:rsid w:val="001D2C9F"/>
    <w:rsid w:val="001D2CE5"/>
    <w:rsid w:val="001D2F97"/>
    <w:rsid w:val="001D354E"/>
    <w:rsid w:val="001D379B"/>
    <w:rsid w:val="001D39AB"/>
    <w:rsid w:val="001D3C9C"/>
    <w:rsid w:val="001D41F3"/>
    <w:rsid w:val="001D440B"/>
    <w:rsid w:val="001D4A53"/>
    <w:rsid w:val="001D4CB9"/>
    <w:rsid w:val="001D5472"/>
    <w:rsid w:val="001D5C7B"/>
    <w:rsid w:val="001D5C95"/>
    <w:rsid w:val="001D63CF"/>
    <w:rsid w:val="001D6D6F"/>
    <w:rsid w:val="001D76C8"/>
    <w:rsid w:val="001D7AFD"/>
    <w:rsid w:val="001D7BB5"/>
    <w:rsid w:val="001D7F24"/>
    <w:rsid w:val="001E0324"/>
    <w:rsid w:val="001E08E5"/>
    <w:rsid w:val="001E0B43"/>
    <w:rsid w:val="001E145B"/>
    <w:rsid w:val="001E187D"/>
    <w:rsid w:val="001E1990"/>
    <w:rsid w:val="001E1CD0"/>
    <w:rsid w:val="001E1E5D"/>
    <w:rsid w:val="001E21A2"/>
    <w:rsid w:val="001E2798"/>
    <w:rsid w:val="001E2890"/>
    <w:rsid w:val="001E2D24"/>
    <w:rsid w:val="001E2EB0"/>
    <w:rsid w:val="001E30B9"/>
    <w:rsid w:val="001E3C6D"/>
    <w:rsid w:val="001E3EFF"/>
    <w:rsid w:val="001E4394"/>
    <w:rsid w:val="001E4981"/>
    <w:rsid w:val="001E59D2"/>
    <w:rsid w:val="001E6200"/>
    <w:rsid w:val="001E62CC"/>
    <w:rsid w:val="001E63B7"/>
    <w:rsid w:val="001E72A2"/>
    <w:rsid w:val="001F0455"/>
    <w:rsid w:val="001F0C85"/>
    <w:rsid w:val="001F1121"/>
    <w:rsid w:val="001F16DB"/>
    <w:rsid w:val="001F18DF"/>
    <w:rsid w:val="001F1B79"/>
    <w:rsid w:val="001F1E53"/>
    <w:rsid w:val="001F2A9D"/>
    <w:rsid w:val="001F2CC3"/>
    <w:rsid w:val="001F34BA"/>
    <w:rsid w:val="001F3A61"/>
    <w:rsid w:val="001F3DE6"/>
    <w:rsid w:val="001F3FA9"/>
    <w:rsid w:val="001F458D"/>
    <w:rsid w:val="001F4E65"/>
    <w:rsid w:val="001F4EBD"/>
    <w:rsid w:val="001F5139"/>
    <w:rsid w:val="001F5866"/>
    <w:rsid w:val="001F5993"/>
    <w:rsid w:val="001F60AA"/>
    <w:rsid w:val="001F60EF"/>
    <w:rsid w:val="001F6709"/>
    <w:rsid w:val="001F679A"/>
    <w:rsid w:val="001F6C10"/>
    <w:rsid w:val="001F79B6"/>
    <w:rsid w:val="001F7A88"/>
    <w:rsid w:val="002004F0"/>
    <w:rsid w:val="002008CE"/>
    <w:rsid w:val="00200AF5"/>
    <w:rsid w:val="00200E2D"/>
    <w:rsid w:val="00201D7A"/>
    <w:rsid w:val="00202662"/>
    <w:rsid w:val="00202972"/>
    <w:rsid w:val="00202EFC"/>
    <w:rsid w:val="002031E4"/>
    <w:rsid w:val="002031F1"/>
    <w:rsid w:val="00203C4E"/>
    <w:rsid w:val="00203D4A"/>
    <w:rsid w:val="00204144"/>
    <w:rsid w:val="002044F5"/>
    <w:rsid w:val="0020526C"/>
    <w:rsid w:val="00205A3C"/>
    <w:rsid w:val="00205EE1"/>
    <w:rsid w:val="002070A7"/>
    <w:rsid w:val="00207C08"/>
    <w:rsid w:val="00207F03"/>
    <w:rsid w:val="002101AC"/>
    <w:rsid w:val="0021020A"/>
    <w:rsid w:val="002110FA"/>
    <w:rsid w:val="0021141F"/>
    <w:rsid w:val="00211DD7"/>
    <w:rsid w:val="002120BA"/>
    <w:rsid w:val="00212127"/>
    <w:rsid w:val="00212DF4"/>
    <w:rsid w:val="00213799"/>
    <w:rsid w:val="00213A2A"/>
    <w:rsid w:val="00214442"/>
    <w:rsid w:val="00214624"/>
    <w:rsid w:val="002148DF"/>
    <w:rsid w:val="00214F1C"/>
    <w:rsid w:val="002150C2"/>
    <w:rsid w:val="00215F18"/>
    <w:rsid w:val="002169E8"/>
    <w:rsid w:val="00216DFF"/>
    <w:rsid w:val="0021724E"/>
    <w:rsid w:val="0021777A"/>
    <w:rsid w:val="00217A3D"/>
    <w:rsid w:val="00217EC4"/>
    <w:rsid w:val="00220848"/>
    <w:rsid w:val="00220A90"/>
    <w:rsid w:val="00220CC3"/>
    <w:rsid w:val="00220EC5"/>
    <w:rsid w:val="00220F5F"/>
    <w:rsid w:val="002212E0"/>
    <w:rsid w:val="002216F3"/>
    <w:rsid w:val="00222AD3"/>
    <w:rsid w:val="002234B4"/>
    <w:rsid w:val="00223F0A"/>
    <w:rsid w:val="002246B6"/>
    <w:rsid w:val="00224D12"/>
    <w:rsid w:val="00224F0C"/>
    <w:rsid w:val="00225316"/>
    <w:rsid w:val="00225F49"/>
    <w:rsid w:val="00226686"/>
    <w:rsid w:val="00226B09"/>
    <w:rsid w:val="0022715B"/>
    <w:rsid w:val="00227BC2"/>
    <w:rsid w:val="002301E6"/>
    <w:rsid w:val="002301F0"/>
    <w:rsid w:val="00230359"/>
    <w:rsid w:val="002304D3"/>
    <w:rsid w:val="00230CCC"/>
    <w:rsid w:val="002310B7"/>
    <w:rsid w:val="00231158"/>
    <w:rsid w:val="002317CA"/>
    <w:rsid w:val="00231D7C"/>
    <w:rsid w:val="00231E4E"/>
    <w:rsid w:val="00232306"/>
    <w:rsid w:val="00232357"/>
    <w:rsid w:val="002334A0"/>
    <w:rsid w:val="002338D6"/>
    <w:rsid w:val="0023391A"/>
    <w:rsid w:val="0023406B"/>
    <w:rsid w:val="00234697"/>
    <w:rsid w:val="002348FC"/>
    <w:rsid w:val="00235184"/>
    <w:rsid w:val="002356F8"/>
    <w:rsid w:val="00235B71"/>
    <w:rsid w:val="00236410"/>
    <w:rsid w:val="002367B9"/>
    <w:rsid w:val="00237338"/>
    <w:rsid w:val="0023785C"/>
    <w:rsid w:val="00237A6B"/>
    <w:rsid w:val="002403C3"/>
    <w:rsid w:val="002406E0"/>
    <w:rsid w:val="00240960"/>
    <w:rsid w:val="00240B00"/>
    <w:rsid w:val="00241297"/>
    <w:rsid w:val="00241783"/>
    <w:rsid w:val="00241879"/>
    <w:rsid w:val="00241A7C"/>
    <w:rsid w:val="00241B80"/>
    <w:rsid w:val="0024208E"/>
    <w:rsid w:val="002420BA"/>
    <w:rsid w:val="002424C3"/>
    <w:rsid w:val="002433E8"/>
    <w:rsid w:val="00243BCF"/>
    <w:rsid w:val="0024488A"/>
    <w:rsid w:val="00246263"/>
    <w:rsid w:val="002463DB"/>
    <w:rsid w:val="00246DB4"/>
    <w:rsid w:val="00246F75"/>
    <w:rsid w:val="002475D1"/>
    <w:rsid w:val="0025015F"/>
    <w:rsid w:val="00250C67"/>
    <w:rsid w:val="00250D93"/>
    <w:rsid w:val="00250F29"/>
    <w:rsid w:val="00251317"/>
    <w:rsid w:val="00251469"/>
    <w:rsid w:val="00251ACA"/>
    <w:rsid w:val="00251EAF"/>
    <w:rsid w:val="0025201A"/>
    <w:rsid w:val="0025242A"/>
    <w:rsid w:val="0025264F"/>
    <w:rsid w:val="0025285C"/>
    <w:rsid w:val="00252BAD"/>
    <w:rsid w:val="002539DF"/>
    <w:rsid w:val="00253AF3"/>
    <w:rsid w:val="00253C3B"/>
    <w:rsid w:val="002544DD"/>
    <w:rsid w:val="00254598"/>
    <w:rsid w:val="002547CA"/>
    <w:rsid w:val="00254B27"/>
    <w:rsid w:val="00254B69"/>
    <w:rsid w:val="0025563A"/>
    <w:rsid w:val="0025591D"/>
    <w:rsid w:val="00255B02"/>
    <w:rsid w:val="00255B38"/>
    <w:rsid w:val="00255DF9"/>
    <w:rsid w:val="00256B9F"/>
    <w:rsid w:val="0025747A"/>
    <w:rsid w:val="0025771F"/>
    <w:rsid w:val="002602D3"/>
    <w:rsid w:val="002609E7"/>
    <w:rsid w:val="00260F44"/>
    <w:rsid w:val="00261281"/>
    <w:rsid w:val="00261427"/>
    <w:rsid w:val="002622D0"/>
    <w:rsid w:val="00262B93"/>
    <w:rsid w:val="00262E13"/>
    <w:rsid w:val="0026348D"/>
    <w:rsid w:val="00263908"/>
    <w:rsid w:val="00263963"/>
    <w:rsid w:val="00263B95"/>
    <w:rsid w:val="00264CEA"/>
    <w:rsid w:val="00264E24"/>
    <w:rsid w:val="00265015"/>
    <w:rsid w:val="00265150"/>
    <w:rsid w:val="002651DF"/>
    <w:rsid w:val="00265246"/>
    <w:rsid w:val="002653FC"/>
    <w:rsid w:val="0026584A"/>
    <w:rsid w:val="00266238"/>
    <w:rsid w:val="00266BCD"/>
    <w:rsid w:val="0026735D"/>
    <w:rsid w:val="002675B5"/>
    <w:rsid w:val="00267695"/>
    <w:rsid w:val="00267D05"/>
    <w:rsid w:val="0027006F"/>
    <w:rsid w:val="00270B21"/>
    <w:rsid w:val="0027130B"/>
    <w:rsid w:val="00271366"/>
    <w:rsid w:val="00271395"/>
    <w:rsid w:val="00271EDB"/>
    <w:rsid w:val="00272278"/>
    <w:rsid w:val="00272849"/>
    <w:rsid w:val="002728C1"/>
    <w:rsid w:val="00272BC4"/>
    <w:rsid w:val="00272F8E"/>
    <w:rsid w:val="0027347B"/>
    <w:rsid w:val="002738B4"/>
    <w:rsid w:val="00273F36"/>
    <w:rsid w:val="00274990"/>
    <w:rsid w:val="0027579A"/>
    <w:rsid w:val="0027590E"/>
    <w:rsid w:val="0027597A"/>
    <w:rsid w:val="00275AB1"/>
    <w:rsid w:val="002772DC"/>
    <w:rsid w:val="00277810"/>
    <w:rsid w:val="00277B1F"/>
    <w:rsid w:val="00277B88"/>
    <w:rsid w:val="0028014A"/>
    <w:rsid w:val="002808B2"/>
    <w:rsid w:val="00280C27"/>
    <w:rsid w:val="00280E40"/>
    <w:rsid w:val="00281025"/>
    <w:rsid w:val="0028234C"/>
    <w:rsid w:val="00282E1A"/>
    <w:rsid w:val="00282F56"/>
    <w:rsid w:val="00282F5D"/>
    <w:rsid w:val="00282FBC"/>
    <w:rsid w:val="002832AA"/>
    <w:rsid w:val="002832F5"/>
    <w:rsid w:val="00283480"/>
    <w:rsid w:val="00283579"/>
    <w:rsid w:val="00283683"/>
    <w:rsid w:val="00283743"/>
    <w:rsid w:val="00283EF3"/>
    <w:rsid w:val="00284CD4"/>
    <w:rsid w:val="00285998"/>
    <w:rsid w:val="00285A3A"/>
    <w:rsid w:val="002862DF"/>
    <w:rsid w:val="00286448"/>
    <w:rsid w:val="00287805"/>
    <w:rsid w:val="002900D4"/>
    <w:rsid w:val="00290139"/>
    <w:rsid w:val="0029177A"/>
    <w:rsid w:val="002919C3"/>
    <w:rsid w:val="00291AB3"/>
    <w:rsid w:val="00291D75"/>
    <w:rsid w:val="00292137"/>
    <w:rsid w:val="00292302"/>
    <w:rsid w:val="00292A6C"/>
    <w:rsid w:val="00292E7D"/>
    <w:rsid w:val="0029333B"/>
    <w:rsid w:val="002933C3"/>
    <w:rsid w:val="002933D9"/>
    <w:rsid w:val="0029386D"/>
    <w:rsid w:val="002938CA"/>
    <w:rsid w:val="00293901"/>
    <w:rsid w:val="00293BF7"/>
    <w:rsid w:val="00293D2A"/>
    <w:rsid w:val="0029416E"/>
    <w:rsid w:val="00294254"/>
    <w:rsid w:val="0029463F"/>
    <w:rsid w:val="0029565E"/>
    <w:rsid w:val="00295ECF"/>
    <w:rsid w:val="002960AB"/>
    <w:rsid w:val="00296AC6"/>
    <w:rsid w:val="002A0272"/>
    <w:rsid w:val="002A0928"/>
    <w:rsid w:val="002A0DA7"/>
    <w:rsid w:val="002A10D3"/>
    <w:rsid w:val="002A19C9"/>
    <w:rsid w:val="002A1DC9"/>
    <w:rsid w:val="002A1E3A"/>
    <w:rsid w:val="002A1E3E"/>
    <w:rsid w:val="002A21B6"/>
    <w:rsid w:val="002A24B8"/>
    <w:rsid w:val="002A2741"/>
    <w:rsid w:val="002A2ACD"/>
    <w:rsid w:val="002A3143"/>
    <w:rsid w:val="002A3147"/>
    <w:rsid w:val="002A3B2E"/>
    <w:rsid w:val="002A4020"/>
    <w:rsid w:val="002A472E"/>
    <w:rsid w:val="002A51A5"/>
    <w:rsid w:val="002A58EB"/>
    <w:rsid w:val="002A5989"/>
    <w:rsid w:val="002A6102"/>
    <w:rsid w:val="002A6D82"/>
    <w:rsid w:val="002A6FAB"/>
    <w:rsid w:val="002A73AA"/>
    <w:rsid w:val="002A7C89"/>
    <w:rsid w:val="002A7F3B"/>
    <w:rsid w:val="002B0719"/>
    <w:rsid w:val="002B08F4"/>
    <w:rsid w:val="002B09A9"/>
    <w:rsid w:val="002B0A34"/>
    <w:rsid w:val="002B0DC1"/>
    <w:rsid w:val="002B124C"/>
    <w:rsid w:val="002B1679"/>
    <w:rsid w:val="002B1856"/>
    <w:rsid w:val="002B1EAC"/>
    <w:rsid w:val="002B24FF"/>
    <w:rsid w:val="002B288B"/>
    <w:rsid w:val="002B2B56"/>
    <w:rsid w:val="002B2D84"/>
    <w:rsid w:val="002B2DD9"/>
    <w:rsid w:val="002B3174"/>
    <w:rsid w:val="002B318A"/>
    <w:rsid w:val="002B384B"/>
    <w:rsid w:val="002B3DF6"/>
    <w:rsid w:val="002B3E55"/>
    <w:rsid w:val="002B403E"/>
    <w:rsid w:val="002B40F4"/>
    <w:rsid w:val="002B4362"/>
    <w:rsid w:val="002B44B2"/>
    <w:rsid w:val="002B4FAC"/>
    <w:rsid w:val="002B59A7"/>
    <w:rsid w:val="002B5C0D"/>
    <w:rsid w:val="002B5F55"/>
    <w:rsid w:val="002B6405"/>
    <w:rsid w:val="002B6BB1"/>
    <w:rsid w:val="002B6C70"/>
    <w:rsid w:val="002B6D87"/>
    <w:rsid w:val="002B6E4F"/>
    <w:rsid w:val="002B762C"/>
    <w:rsid w:val="002B7C0E"/>
    <w:rsid w:val="002C02C4"/>
    <w:rsid w:val="002C05B2"/>
    <w:rsid w:val="002C0BDB"/>
    <w:rsid w:val="002C1548"/>
    <w:rsid w:val="002C1571"/>
    <w:rsid w:val="002C1B2A"/>
    <w:rsid w:val="002C1ECA"/>
    <w:rsid w:val="002C205D"/>
    <w:rsid w:val="002C2401"/>
    <w:rsid w:val="002C2611"/>
    <w:rsid w:val="002C2E57"/>
    <w:rsid w:val="002C2F60"/>
    <w:rsid w:val="002C31F0"/>
    <w:rsid w:val="002C3470"/>
    <w:rsid w:val="002C40BD"/>
    <w:rsid w:val="002C4415"/>
    <w:rsid w:val="002C44CE"/>
    <w:rsid w:val="002C53B6"/>
    <w:rsid w:val="002C6172"/>
    <w:rsid w:val="002C636B"/>
    <w:rsid w:val="002C6686"/>
    <w:rsid w:val="002C66E9"/>
    <w:rsid w:val="002C6AC7"/>
    <w:rsid w:val="002C6D9B"/>
    <w:rsid w:val="002C71AA"/>
    <w:rsid w:val="002C7A08"/>
    <w:rsid w:val="002C7D5B"/>
    <w:rsid w:val="002D0B56"/>
    <w:rsid w:val="002D20D4"/>
    <w:rsid w:val="002D2241"/>
    <w:rsid w:val="002D2B2D"/>
    <w:rsid w:val="002D30D9"/>
    <w:rsid w:val="002D31E3"/>
    <w:rsid w:val="002D3225"/>
    <w:rsid w:val="002D35F7"/>
    <w:rsid w:val="002D3A29"/>
    <w:rsid w:val="002D3BBA"/>
    <w:rsid w:val="002D4DA4"/>
    <w:rsid w:val="002D4EA1"/>
    <w:rsid w:val="002D4FB7"/>
    <w:rsid w:val="002D5074"/>
    <w:rsid w:val="002D5861"/>
    <w:rsid w:val="002D6016"/>
    <w:rsid w:val="002D63F6"/>
    <w:rsid w:val="002D6E4A"/>
    <w:rsid w:val="002D6E79"/>
    <w:rsid w:val="002D777D"/>
    <w:rsid w:val="002D7D05"/>
    <w:rsid w:val="002E0355"/>
    <w:rsid w:val="002E063D"/>
    <w:rsid w:val="002E07ED"/>
    <w:rsid w:val="002E0DAA"/>
    <w:rsid w:val="002E119C"/>
    <w:rsid w:val="002E18CE"/>
    <w:rsid w:val="002E20A4"/>
    <w:rsid w:val="002E2662"/>
    <w:rsid w:val="002E3158"/>
    <w:rsid w:val="002E3D52"/>
    <w:rsid w:val="002E443D"/>
    <w:rsid w:val="002E4790"/>
    <w:rsid w:val="002E4904"/>
    <w:rsid w:val="002E4C6C"/>
    <w:rsid w:val="002E4F23"/>
    <w:rsid w:val="002E53BE"/>
    <w:rsid w:val="002E59F9"/>
    <w:rsid w:val="002E5BE8"/>
    <w:rsid w:val="002E5C6C"/>
    <w:rsid w:val="002E5F5B"/>
    <w:rsid w:val="002E6844"/>
    <w:rsid w:val="002E6A77"/>
    <w:rsid w:val="002E7443"/>
    <w:rsid w:val="002E757C"/>
    <w:rsid w:val="002E75E1"/>
    <w:rsid w:val="002E77D3"/>
    <w:rsid w:val="002E7861"/>
    <w:rsid w:val="002E78AC"/>
    <w:rsid w:val="002E7A1E"/>
    <w:rsid w:val="002E7C17"/>
    <w:rsid w:val="002F04C4"/>
    <w:rsid w:val="002F0FBE"/>
    <w:rsid w:val="002F1025"/>
    <w:rsid w:val="002F1116"/>
    <w:rsid w:val="002F111A"/>
    <w:rsid w:val="002F12DA"/>
    <w:rsid w:val="002F16AD"/>
    <w:rsid w:val="002F18FB"/>
    <w:rsid w:val="002F1C10"/>
    <w:rsid w:val="002F2615"/>
    <w:rsid w:val="002F2E22"/>
    <w:rsid w:val="002F3064"/>
    <w:rsid w:val="002F3DFB"/>
    <w:rsid w:val="002F3FE6"/>
    <w:rsid w:val="002F4645"/>
    <w:rsid w:val="002F4712"/>
    <w:rsid w:val="002F4B70"/>
    <w:rsid w:val="002F4EB2"/>
    <w:rsid w:val="002F5193"/>
    <w:rsid w:val="002F58F1"/>
    <w:rsid w:val="002F5D1C"/>
    <w:rsid w:val="002F6452"/>
    <w:rsid w:val="002F65E3"/>
    <w:rsid w:val="002F6641"/>
    <w:rsid w:val="002F667E"/>
    <w:rsid w:val="002F68A0"/>
    <w:rsid w:val="002F6EFF"/>
    <w:rsid w:val="002F74BC"/>
    <w:rsid w:val="002F7B2E"/>
    <w:rsid w:val="002F7B41"/>
    <w:rsid w:val="002F7C1B"/>
    <w:rsid w:val="003002B2"/>
    <w:rsid w:val="003003CD"/>
    <w:rsid w:val="0030169A"/>
    <w:rsid w:val="0030178A"/>
    <w:rsid w:val="00301C78"/>
    <w:rsid w:val="00301D19"/>
    <w:rsid w:val="00304668"/>
    <w:rsid w:val="00304C01"/>
    <w:rsid w:val="003050D5"/>
    <w:rsid w:val="003054E4"/>
    <w:rsid w:val="00305A60"/>
    <w:rsid w:val="00305B9C"/>
    <w:rsid w:val="00305BB1"/>
    <w:rsid w:val="00305E6E"/>
    <w:rsid w:val="0030612A"/>
    <w:rsid w:val="003064E2"/>
    <w:rsid w:val="00306C02"/>
    <w:rsid w:val="003075BC"/>
    <w:rsid w:val="0030762F"/>
    <w:rsid w:val="00310773"/>
    <w:rsid w:val="00310BA2"/>
    <w:rsid w:val="00310FEF"/>
    <w:rsid w:val="00311797"/>
    <w:rsid w:val="00311A96"/>
    <w:rsid w:val="003124BA"/>
    <w:rsid w:val="00312CB0"/>
    <w:rsid w:val="00313023"/>
    <w:rsid w:val="003131FA"/>
    <w:rsid w:val="00313751"/>
    <w:rsid w:val="003137A5"/>
    <w:rsid w:val="003137CC"/>
    <w:rsid w:val="00313AAA"/>
    <w:rsid w:val="00313B19"/>
    <w:rsid w:val="00313DFB"/>
    <w:rsid w:val="00314037"/>
    <w:rsid w:val="003146D3"/>
    <w:rsid w:val="00314AB1"/>
    <w:rsid w:val="00314DDB"/>
    <w:rsid w:val="00314F96"/>
    <w:rsid w:val="00315387"/>
    <w:rsid w:val="0031585E"/>
    <w:rsid w:val="00316128"/>
    <w:rsid w:val="0031616E"/>
    <w:rsid w:val="003166EA"/>
    <w:rsid w:val="003168D9"/>
    <w:rsid w:val="003176C7"/>
    <w:rsid w:val="00317A89"/>
    <w:rsid w:val="00317EA7"/>
    <w:rsid w:val="003208C8"/>
    <w:rsid w:val="00320E58"/>
    <w:rsid w:val="003215F4"/>
    <w:rsid w:val="00321C05"/>
    <w:rsid w:val="00322C03"/>
    <w:rsid w:val="003240AD"/>
    <w:rsid w:val="003245A6"/>
    <w:rsid w:val="00324A4D"/>
    <w:rsid w:val="00324C88"/>
    <w:rsid w:val="0032544B"/>
    <w:rsid w:val="00325474"/>
    <w:rsid w:val="00325484"/>
    <w:rsid w:val="00325C31"/>
    <w:rsid w:val="00325C72"/>
    <w:rsid w:val="00325C79"/>
    <w:rsid w:val="00327662"/>
    <w:rsid w:val="00327845"/>
    <w:rsid w:val="003307CD"/>
    <w:rsid w:val="00330C3D"/>
    <w:rsid w:val="00331215"/>
    <w:rsid w:val="003314ED"/>
    <w:rsid w:val="003317E9"/>
    <w:rsid w:val="003326C9"/>
    <w:rsid w:val="00332C00"/>
    <w:rsid w:val="0033352F"/>
    <w:rsid w:val="0033391F"/>
    <w:rsid w:val="00333DC7"/>
    <w:rsid w:val="003350DC"/>
    <w:rsid w:val="0033555D"/>
    <w:rsid w:val="0033575B"/>
    <w:rsid w:val="00335AEC"/>
    <w:rsid w:val="00335BD2"/>
    <w:rsid w:val="003366C9"/>
    <w:rsid w:val="003366E1"/>
    <w:rsid w:val="00336D81"/>
    <w:rsid w:val="00336DE2"/>
    <w:rsid w:val="00336E02"/>
    <w:rsid w:val="00336EE4"/>
    <w:rsid w:val="0033729C"/>
    <w:rsid w:val="0033731D"/>
    <w:rsid w:val="003377D9"/>
    <w:rsid w:val="00337E75"/>
    <w:rsid w:val="00337FD5"/>
    <w:rsid w:val="00340070"/>
    <w:rsid w:val="00340193"/>
    <w:rsid w:val="00340CD0"/>
    <w:rsid w:val="00340DC1"/>
    <w:rsid w:val="00340F37"/>
    <w:rsid w:val="00341460"/>
    <w:rsid w:val="00341976"/>
    <w:rsid w:val="00341DC0"/>
    <w:rsid w:val="0034248D"/>
    <w:rsid w:val="00342808"/>
    <w:rsid w:val="0034291E"/>
    <w:rsid w:val="0034310B"/>
    <w:rsid w:val="00344335"/>
    <w:rsid w:val="00344939"/>
    <w:rsid w:val="00344AC0"/>
    <w:rsid w:val="00344BED"/>
    <w:rsid w:val="00345931"/>
    <w:rsid w:val="003465A0"/>
    <w:rsid w:val="00346D4A"/>
    <w:rsid w:val="00346F26"/>
    <w:rsid w:val="003477AB"/>
    <w:rsid w:val="00347FBC"/>
    <w:rsid w:val="003502B0"/>
    <w:rsid w:val="003503B0"/>
    <w:rsid w:val="003505D1"/>
    <w:rsid w:val="003509D6"/>
    <w:rsid w:val="00351409"/>
    <w:rsid w:val="0035151F"/>
    <w:rsid w:val="0035267E"/>
    <w:rsid w:val="00352B52"/>
    <w:rsid w:val="00352F71"/>
    <w:rsid w:val="00353081"/>
    <w:rsid w:val="00353794"/>
    <w:rsid w:val="00353DF8"/>
    <w:rsid w:val="0035409F"/>
    <w:rsid w:val="0035469E"/>
    <w:rsid w:val="00354E65"/>
    <w:rsid w:val="003554F1"/>
    <w:rsid w:val="00355500"/>
    <w:rsid w:val="003555FA"/>
    <w:rsid w:val="00355779"/>
    <w:rsid w:val="00355AAD"/>
    <w:rsid w:val="00355EAC"/>
    <w:rsid w:val="003569DB"/>
    <w:rsid w:val="003579E6"/>
    <w:rsid w:val="00357C10"/>
    <w:rsid w:val="0036072A"/>
    <w:rsid w:val="00360DCE"/>
    <w:rsid w:val="0036138C"/>
    <w:rsid w:val="00361973"/>
    <w:rsid w:val="00362F2E"/>
    <w:rsid w:val="0036321F"/>
    <w:rsid w:val="00363B2E"/>
    <w:rsid w:val="0036440F"/>
    <w:rsid w:val="003646BD"/>
    <w:rsid w:val="003649F3"/>
    <w:rsid w:val="00366195"/>
    <w:rsid w:val="003667FF"/>
    <w:rsid w:val="00366B53"/>
    <w:rsid w:val="00366F3E"/>
    <w:rsid w:val="00367087"/>
    <w:rsid w:val="00367BD7"/>
    <w:rsid w:val="00367CF4"/>
    <w:rsid w:val="00367DD5"/>
    <w:rsid w:val="003719B7"/>
    <w:rsid w:val="003724EC"/>
    <w:rsid w:val="003726D1"/>
    <w:rsid w:val="003729BB"/>
    <w:rsid w:val="0037332D"/>
    <w:rsid w:val="0037346F"/>
    <w:rsid w:val="003735BA"/>
    <w:rsid w:val="00373A01"/>
    <w:rsid w:val="0037442D"/>
    <w:rsid w:val="00374913"/>
    <w:rsid w:val="00374A76"/>
    <w:rsid w:val="00375727"/>
    <w:rsid w:val="0037587D"/>
    <w:rsid w:val="00376160"/>
    <w:rsid w:val="00376802"/>
    <w:rsid w:val="0037724A"/>
    <w:rsid w:val="00377A54"/>
    <w:rsid w:val="003802AF"/>
    <w:rsid w:val="0038087D"/>
    <w:rsid w:val="003809BB"/>
    <w:rsid w:val="00380D65"/>
    <w:rsid w:val="00380E80"/>
    <w:rsid w:val="00380F84"/>
    <w:rsid w:val="0038147E"/>
    <w:rsid w:val="00381E7C"/>
    <w:rsid w:val="00381EA8"/>
    <w:rsid w:val="00382210"/>
    <w:rsid w:val="0038259B"/>
    <w:rsid w:val="0038280C"/>
    <w:rsid w:val="00383249"/>
    <w:rsid w:val="003837F0"/>
    <w:rsid w:val="00384038"/>
    <w:rsid w:val="003841F6"/>
    <w:rsid w:val="00384391"/>
    <w:rsid w:val="00384454"/>
    <w:rsid w:val="00384F8D"/>
    <w:rsid w:val="003850B8"/>
    <w:rsid w:val="00385A15"/>
    <w:rsid w:val="00385A52"/>
    <w:rsid w:val="00385A89"/>
    <w:rsid w:val="00385AA3"/>
    <w:rsid w:val="00385E39"/>
    <w:rsid w:val="003861C2"/>
    <w:rsid w:val="003868E6"/>
    <w:rsid w:val="0038727D"/>
    <w:rsid w:val="003873C0"/>
    <w:rsid w:val="003875DF"/>
    <w:rsid w:val="00387884"/>
    <w:rsid w:val="0038792F"/>
    <w:rsid w:val="00387A43"/>
    <w:rsid w:val="00387B1A"/>
    <w:rsid w:val="00387D10"/>
    <w:rsid w:val="00390455"/>
    <w:rsid w:val="003905AD"/>
    <w:rsid w:val="00390B17"/>
    <w:rsid w:val="00390C6E"/>
    <w:rsid w:val="00390CD4"/>
    <w:rsid w:val="00390E5C"/>
    <w:rsid w:val="00391381"/>
    <w:rsid w:val="0039170E"/>
    <w:rsid w:val="00391769"/>
    <w:rsid w:val="003919E2"/>
    <w:rsid w:val="00391B2C"/>
    <w:rsid w:val="00391C5C"/>
    <w:rsid w:val="00392A93"/>
    <w:rsid w:val="00392EF9"/>
    <w:rsid w:val="00393029"/>
    <w:rsid w:val="00393B31"/>
    <w:rsid w:val="003947FA"/>
    <w:rsid w:val="00394841"/>
    <w:rsid w:val="003952B2"/>
    <w:rsid w:val="00395550"/>
    <w:rsid w:val="00395ECC"/>
    <w:rsid w:val="00395FBE"/>
    <w:rsid w:val="0039635F"/>
    <w:rsid w:val="00396773"/>
    <w:rsid w:val="00397002"/>
    <w:rsid w:val="003971C5"/>
    <w:rsid w:val="0039787A"/>
    <w:rsid w:val="00397944"/>
    <w:rsid w:val="00397A2D"/>
    <w:rsid w:val="003A0144"/>
    <w:rsid w:val="003A0147"/>
    <w:rsid w:val="003A0301"/>
    <w:rsid w:val="003A03B2"/>
    <w:rsid w:val="003A0922"/>
    <w:rsid w:val="003A0A16"/>
    <w:rsid w:val="003A0C68"/>
    <w:rsid w:val="003A0C93"/>
    <w:rsid w:val="003A0F62"/>
    <w:rsid w:val="003A12BC"/>
    <w:rsid w:val="003A16C0"/>
    <w:rsid w:val="003A1A66"/>
    <w:rsid w:val="003A1DCE"/>
    <w:rsid w:val="003A1EFA"/>
    <w:rsid w:val="003A2266"/>
    <w:rsid w:val="003A227C"/>
    <w:rsid w:val="003A3799"/>
    <w:rsid w:val="003A37F4"/>
    <w:rsid w:val="003A3BA8"/>
    <w:rsid w:val="003A3EC3"/>
    <w:rsid w:val="003A4BF3"/>
    <w:rsid w:val="003A541A"/>
    <w:rsid w:val="003A546D"/>
    <w:rsid w:val="003A5A14"/>
    <w:rsid w:val="003A5B18"/>
    <w:rsid w:val="003A6039"/>
    <w:rsid w:val="003A726E"/>
    <w:rsid w:val="003A75A6"/>
    <w:rsid w:val="003A7849"/>
    <w:rsid w:val="003A78FD"/>
    <w:rsid w:val="003A7AEF"/>
    <w:rsid w:val="003A7C0E"/>
    <w:rsid w:val="003B0750"/>
    <w:rsid w:val="003B09DD"/>
    <w:rsid w:val="003B0B72"/>
    <w:rsid w:val="003B19E5"/>
    <w:rsid w:val="003B1B4F"/>
    <w:rsid w:val="003B1C1D"/>
    <w:rsid w:val="003B1D3D"/>
    <w:rsid w:val="003B2741"/>
    <w:rsid w:val="003B3264"/>
    <w:rsid w:val="003B333B"/>
    <w:rsid w:val="003B3359"/>
    <w:rsid w:val="003B3513"/>
    <w:rsid w:val="003B360F"/>
    <w:rsid w:val="003B3758"/>
    <w:rsid w:val="003B37B5"/>
    <w:rsid w:val="003B387B"/>
    <w:rsid w:val="003B45E7"/>
    <w:rsid w:val="003B4626"/>
    <w:rsid w:val="003B4B6C"/>
    <w:rsid w:val="003B4C54"/>
    <w:rsid w:val="003B512F"/>
    <w:rsid w:val="003B52EE"/>
    <w:rsid w:val="003B55D3"/>
    <w:rsid w:val="003B5FEC"/>
    <w:rsid w:val="003B73FC"/>
    <w:rsid w:val="003B781D"/>
    <w:rsid w:val="003B78F8"/>
    <w:rsid w:val="003C0180"/>
    <w:rsid w:val="003C0AF8"/>
    <w:rsid w:val="003C0BCC"/>
    <w:rsid w:val="003C18C4"/>
    <w:rsid w:val="003C19A5"/>
    <w:rsid w:val="003C19FF"/>
    <w:rsid w:val="003C214F"/>
    <w:rsid w:val="003C22F6"/>
    <w:rsid w:val="003C253F"/>
    <w:rsid w:val="003C2C25"/>
    <w:rsid w:val="003C2E9B"/>
    <w:rsid w:val="003C3358"/>
    <w:rsid w:val="003C39CD"/>
    <w:rsid w:val="003C3F27"/>
    <w:rsid w:val="003C42EB"/>
    <w:rsid w:val="003C4350"/>
    <w:rsid w:val="003C454D"/>
    <w:rsid w:val="003C4781"/>
    <w:rsid w:val="003C4B51"/>
    <w:rsid w:val="003C5D16"/>
    <w:rsid w:val="003C60BC"/>
    <w:rsid w:val="003C64A4"/>
    <w:rsid w:val="003C6693"/>
    <w:rsid w:val="003C6A31"/>
    <w:rsid w:val="003C6D0D"/>
    <w:rsid w:val="003C7277"/>
    <w:rsid w:val="003C7726"/>
    <w:rsid w:val="003C7F52"/>
    <w:rsid w:val="003D0C28"/>
    <w:rsid w:val="003D0DD1"/>
    <w:rsid w:val="003D1004"/>
    <w:rsid w:val="003D18D5"/>
    <w:rsid w:val="003D2571"/>
    <w:rsid w:val="003D2C28"/>
    <w:rsid w:val="003D2EEF"/>
    <w:rsid w:val="003D3FE7"/>
    <w:rsid w:val="003D4330"/>
    <w:rsid w:val="003D49E2"/>
    <w:rsid w:val="003D4D97"/>
    <w:rsid w:val="003D5294"/>
    <w:rsid w:val="003D5795"/>
    <w:rsid w:val="003D587A"/>
    <w:rsid w:val="003D5999"/>
    <w:rsid w:val="003D643C"/>
    <w:rsid w:val="003D6D7B"/>
    <w:rsid w:val="003D7E2E"/>
    <w:rsid w:val="003E0030"/>
    <w:rsid w:val="003E0901"/>
    <w:rsid w:val="003E0DD4"/>
    <w:rsid w:val="003E118C"/>
    <w:rsid w:val="003E11E9"/>
    <w:rsid w:val="003E1883"/>
    <w:rsid w:val="003E1AA2"/>
    <w:rsid w:val="003E206A"/>
    <w:rsid w:val="003E21A6"/>
    <w:rsid w:val="003E2E97"/>
    <w:rsid w:val="003E39CB"/>
    <w:rsid w:val="003E3C65"/>
    <w:rsid w:val="003E492B"/>
    <w:rsid w:val="003E5173"/>
    <w:rsid w:val="003E5431"/>
    <w:rsid w:val="003E5D27"/>
    <w:rsid w:val="003E670E"/>
    <w:rsid w:val="003E693E"/>
    <w:rsid w:val="003E6A80"/>
    <w:rsid w:val="003E6E4E"/>
    <w:rsid w:val="003E6F53"/>
    <w:rsid w:val="003E79D0"/>
    <w:rsid w:val="003F0968"/>
    <w:rsid w:val="003F0AA0"/>
    <w:rsid w:val="003F0C74"/>
    <w:rsid w:val="003F1658"/>
    <w:rsid w:val="003F1B31"/>
    <w:rsid w:val="003F1C33"/>
    <w:rsid w:val="003F1D39"/>
    <w:rsid w:val="003F21D5"/>
    <w:rsid w:val="003F2286"/>
    <w:rsid w:val="003F2718"/>
    <w:rsid w:val="003F33BE"/>
    <w:rsid w:val="003F3682"/>
    <w:rsid w:val="003F3886"/>
    <w:rsid w:val="003F3929"/>
    <w:rsid w:val="003F43F6"/>
    <w:rsid w:val="003F44EF"/>
    <w:rsid w:val="003F4D0A"/>
    <w:rsid w:val="003F4EA3"/>
    <w:rsid w:val="003F564F"/>
    <w:rsid w:val="003F5868"/>
    <w:rsid w:val="003F6605"/>
    <w:rsid w:val="003F68C2"/>
    <w:rsid w:val="003F68FA"/>
    <w:rsid w:val="003F6E4C"/>
    <w:rsid w:val="003F70FD"/>
    <w:rsid w:val="003F710C"/>
    <w:rsid w:val="003F7FA2"/>
    <w:rsid w:val="003F7FAC"/>
    <w:rsid w:val="00400064"/>
    <w:rsid w:val="004003EA"/>
    <w:rsid w:val="004007A6"/>
    <w:rsid w:val="00401769"/>
    <w:rsid w:val="00401DF3"/>
    <w:rsid w:val="00401E9E"/>
    <w:rsid w:val="0040255F"/>
    <w:rsid w:val="00402F65"/>
    <w:rsid w:val="00403582"/>
    <w:rsid w:val="00403C41"/>
    <w:rsid w:val="00403CE0"/>
    <w:rsid w:val="0040478B"/>
    <w:rsid w:val="00404D83"/>
    <w:rsid w:val="00405139"/>
    <w:rsid w:val="00405376"/>
    <w:rsid w:val="00405548"/>
    <w:rsid w:val="0040591B"/>
    <w:rsid w:val="004066C6"/>
    <w:rsid w:val="0040673D"/>
    <w:rsid w:val="00406CB6"/>
    <w:rsid w:val="00406D05"/>
    <w:rsid w:val="00406EA2"/>
    <w:rsid w:val="00407203"/>
    <w:rsid w:val="00407227"/>
    <w:rsid w:val="004075DC"/>
    <w:rsid w:val="00410147"/>
    <w:rsid w:val="004111ED"/>
    <w:rsid w:val="004113EB"/>
    <w:rsid w:val="00411B47"/>
    <w:rsid w:val="00411D7E"/>
    <w:rsid w:val="004120FC"/>
    <w:rsid w:val="004122F9"/>
    <w:rsid w:val="00412996"/>
    <w:rsid w:val="00413460"/>
    <w:rsid w:val="00413E0B"/>
    <w:rsid w:val="004145D5"/>
    <w:rsid w:val="0041536A"/>
    <w:rsid w:val="004154C0"/>
    <w:rsid w:val="004156CC"/>
    <w:rsid w:val="004157DB"/>
    <w:rsid w:val="00415E4D"/>
    <w:rsid w:val="00416F12"/>
    <w:rsid w:val="00416F3B"/>
    <w:rsid w:val="004170C3"/>
    <w:rsid w:val="004172C9"/>
    <w:rsid w:val="004173B0"/>
    <w:rsid w:val="0041748D"/>
    <w:rsid w:val="00417F90"/>
    <w:rsid w:val="00420307"/>
    <w:rsid w:val="004210CB"/>
    <w:rsid w:val="00421395"/>
    <w:rsid w:val="004216A0"/>
    <w:rsid w:val="004218D0"/>
    <w:rsid w:val="00421924"/>
    <w:rsid w:val="00421DB2"/>
    <w:rsid w:val="00421E49"/>
    <w:rsid w:val="0042250A"/>
    <w:rsid w:val="00422D75"/>
    <w:rsid w:val="0042370F"/>
    <w:rsid w:val="00423967"/>
    <w:rsid w:val="004245E5"/>
    <w:rsid w:val="00424736"/>
    <w:rsid w:val="00425209"/>
    <w:rsid w:val="0042536B"/>
    <w:rsid w:val="004255C7"/>
    <w:rsid w:val="004256E7"/>
    <w:rsid w:val="00425EBE"/>
    <w:rsid w:val="00427206"/>
    <w:rsid w:val="0042799C"/>
    <w:rsid w:val="00427C6B"/>
    <w:rsid w:val="0043056C"/>
    <w:rsid w:val="00430842"/>
    <w:rsid w:val="00430E57"/>
    <w:rsid w:val="00431533"/>
    <w:rsid w:val="00431786"/>
    <w:rsid w:val="00431BCB"/>
    <w:rsid w:val="00431D86"/>
    <w:rsid w:val="00431DFE"/>
    <w:rsid w:val="0043201A"/>
    <w:rsid w:val="00432232"/>
    <w:rsid w:val="0043254E"/>
    <w:rsid w:val="004329E2"/>
    <w:rsid w:val="00432A51"/>
    <w:rsid w:val="00432B5C"/>
    <w:rsid w:val="00432DB1"/>
    <w:rsid w:val="00433EDC"/>
    <w:rsid w:val="00433F61"/>
    <w:rsid w:val="00433F65"/>
    <w:rsid w:val="004340F9"/>
    <w:rsid w:val="00435019"/>
    <w:rsid w:val="0043501A"/>
    <w:rsid w:val="00435209"/>
    <w:rsid w:val="0043523B"/>
    <w:rsid w:val="004356CB"/>
    <w:rsid w:val="00435901"/>
    <w:rsid w:val="00435F06"/>
    <w:rsid w:val="00436698"/>
    <w:rsid w:val="00436700"/>
    <w:rsid w:val="00436785"/>
    <w:rsid w:val="0043707F"/>
    <w:rsid w:val="004370EB"/>
    <w:rsid w:val="004371A1"/>
    <w:rsid w:val="00437249"/>
    <w:rsid w:val="0043736F"/>
    <w:rsid w:val="004375F1"/>
    <w:rsid w:val="00437764"/>
    <w:rsid w:val="00437B47"/>
    <w:rsid w:val="00437C2E"/>
    <w:rsid w:val="004408B9"/>
    <w:rsid w:val="00440BF0"/>
    <w:rsid w:val="0044144A"/>
    <w:rsid w:val="0044162B"/>
    <w:rsid w:val="004416DE"/>
    <w:rsid w:val="00441828"/>
    <w:rsid w:val="00441989"/>
    <w:rsid w:val="00441BC2"/>
    <w:rsid w:val="00441F3B"/>
    <w:rsid w:val="004423A3"/>
    <w:rsid w:val="00442A58"/>
    <w:rsid w:val="00442D76"/>
    <w:rsid w:val="00443AF9"/>
    <w:rsid w:val="00443D1D"/>
    <w:rsid w:val="00444107"/>
    <w:rsid w:val="00444198"/>
    <w:rsid w:val="00445A8B"/>
    <w:rsid w:val="00446A6C"/>
    <w:rsid w:val="00446BD4"/>
    <w:rsid w:val="00447F99"/>
    <w:rsid w:val="00450686"/>
    <w:rsid w:val="00450E2D"/>
    <w:rsid w:val="0045136A"/>
    <w:rsid w:val="004515E6"/>
    <w:rsid w:val="0045186B"/>
    <w:rsid w:val="00451978"/>
    <w:rsid w:val="00451CA2"/>
    <w:rsid w:val="00451CC8"/>
    <w:rsid w:val="004523E3"/>
    <w:rsid w:val="00452699"/>
    <w:rsid w:val="004528C6"/>
    <w:rsid w:val="00452E55"/>
    <w:rsid w:val="00453553"/>
    <w:rsid w:val="00453F97"/>
    <w:rsid w:val="004541C0"/>
    <w:rsid w:val="00454387"/>
    <w:rsid w:val="004544D5"/>
    <w:rsid w:val="00454643"/>
    <w:rsid w:val="004552A3"/>
    <w:rsid w:val="0045554C"/>
    <w:rsid w:val="004556DA"/>
    <w:rsid w:val="0045573B"/>
    <w:rsid w:val="00455A52"/>
    <w:rsid w:val="00455D7E"/>
    <w:rsid w:val="00455EE3"/>
    <w:rsid w:val="004561C6"/>
    <w:rsid w:val="00456370"/>
    <w:rsid w:val="0045692A"/>
    <w:rsid w:val="00456AB9"/>
    <w:rsid w:val="00456BE6"/>
    <w:rsid w:val="00456ED7"/>
    <w:rsid w:val="00457316"/>
    <w:rsid w:val="00457364"/>
    <w:rsid w:val="00457365"/>
    <w:rsid w:val="004576B9"/>
    <w:rsid w:val="00457BF0"/>
    <w:rsid w:val="00457C5B"/>
    <w:rsid w:val="00457E97"/>
    <w:rsid w:val="00460695"/>
    <w:rsid w:val="00460766"/>
    <w:rsid w:val="0046078E"/>
    <w:rsid w:val="0046099D"/>
    <w:rsid w:val="004609C3"/>
    <w:rsid w:val="004617E6"/>
    <w:rsid w:val="004626A8"/>
    <w:rsid w:val="004630AA"/>
    <w:rsid w:val="004631A0"/>
    <w:rsid w:val="00463B61"/>
    <w:rsid w:val="00463FE8"/>
    <w:rsid w:val="00464D98"/>
    <w:rsid w:val="00465646"/>
    <w:rsid w:val="00465CCC"/>
    <w:rsid w:val="00466DC9"/>
    <w:rsid w:val="00467AAA"/>
    <w:rsid w:val="00467B63"/>
    <w:rsid w:val="00467C29"/>
    <w:rsid w:val="004707E9"/>
    <w:rsid w:val="0047176E"/>
    <w:rsid w:val="00471802"/>
    <w:rsid w:val="00471F41"/>
    <w:rsid w:val="00472015"/>
    <w:rsid w:val="0047265B"/>
    <w:rsid w:val="004727DB"/>
    <w:rsid w:val="004729B0"/>
    <w:rsid w:val="00472A38"/>
    <w:rsid w:val="00472A64"/>
    <w:rsid w:val="00472CD2"/>
    <w:rsid w:val="00474159"/>
    <w:rsid w:val="004741E8"/>
    <w:rsid w:val="00474603"/>
    <w:rsid w:val="00474909"/>
    <w:rsid w:val="00474F8C"/>
    <w:rsid w:val="00475505"/>
    <w:rsid w:val="00475B28"/>
    <w:rsid w:val="00476019"/>
    <w:rsid w:val="0047635F"/>
    <w:rsid w:val="0047689A"/>
    <w:rsid w:val="00476954"/>
    <w:rsid w:val="00476E62"/>
    <w:rsid w:val="004773CF"/>
    <w:rsid w:val="00480507"/>
    <w:rsid w:val="00480DAA"/>
    <w:rsid w:val="00480F6B"/>
    <w:rsid w:val="004818B1"/>
    <w:rsid w:val="00481E3B"/>
    <w:rsid w:val="0048234D"/>
    <w:rsid w:val="00482AC3"/>
    <w:rsid w:val="00482F1A"/>
    <w:rsid w:val="00483736"/>
    <w:rsid w:val="00483A89"/>
    <w:rsid w:val="00484302"/>
    <w:rsid w:val="00484365"/>
    <w:rsid w:val="004845B8"/>
    <w:rsid w:val="00484737"/>
    <w:rsid w:val="00484E92"/>
    <w:rsid w:val="0048656D"/>
    <w:rsid w:val="00486767"/>
    <w:rsid w:val="004869D2"/>
    <w:rsid w:val="004871A1"/>
    <w:rsid w:val="004876C2"/>
    <w:rsid w:val="00487912"/>
    <w:rsid w:val="00487C1D"/>
    <w:rsid w:val="00487F6F"/>
    <w:rsid w:val="0049001A"/>
    <w:rsid w:val="004901AC"/>
    <w:rsid w:val="00491077"/>
    <w:rsid w:val="0049168D"/>
    <w:rsid w:val="00491C9E"/>
    <w:rsid w:val="00491CD3"/>
    <w:rsid w:val="00491D9B"/>
    <w:rsid w:val="0049259A"/>
    <w:rsid w:val="004938DE"/>
    <w:rsid w:val="00493986"/>
    <w:rsid w:val="00493C56"/>
    <w:rsid w:val="004941A4"/>
    <w:rsid w:val="0049446B"/>
    <w:rsid w:val="00494ADD"/>
    <w:rsid w:val="00495645"/>
    <w:rsid w:val="004959BA"/>
    <w:rsid w:val="004960F5"/>
    <w:rsid w:val="00496121"/>
    <w:rsid w:val="00496168"/>
    <w:rsid w:val="00496437"/>
    <w:rsid w:val="00496C57"/>
    <w:rsid w:val="00496D84"/>
    <w:rsid w:val="00497156"/>
    <w:rsid w:val="0049733C"/>
    <w:rsid w:val="004976C4"/>
    <w:rsid w:val="004A0095"/>
    <w:rsid w:val="004A0531"/>
    <w:rsid w:val="004A098C"/>
    <w:rsid w:val="004A12A8"/>
    <w:rsid w:val="004A2507"/>
    <w:rsid w:val="004A3B33"/>
    <w:rsid w:val="004A3C1C"/>
    <w:rsid w:val="004A3E79"/>
    <w:rsid w:val="004A3EAB"/>
    <w:rsid w:val="004A3F4D"/>
    <w:rsid w:val="004A40BE"/>
    <w:rsid w:val="004A412E"/>
    <w:rsid w:val="004A4312"/>
    <w:rsid w:val="004A4868"/>
    <w:rsid w:val="004A48C9"/>
    <w:rsid w:val="004A4FB6"/>
    <w:rsid w:val="004A545E"/>
    <w:rsid w:val="004A59C6"/>
    <w:rsid w:val="004A689C"/>
    <w:rsid w:val="004A70DB"/>
    <w:rsid w:val="004A72AD"/>
    <w:rsid w:val="004A79B5"/>
    <w:rsid w:val="004A7E4F"/>
    <w:rsid w:val="004A7ECC"/>
    <w:rsid w:val="004B08DE"/>
    <w:rsid w:val="004B0F18"/>
    <w:rsid w:val="004B0F62"/>
    <w:rsid w:val="004B0FA6"/>
    <w:rsid w:val="004B1DCC"/>
    <w:rsid w:val="004B1FE9"/>
    <w:rsid w:val="004B27EF"/>
    <w:rsid w:val="004B2AF9"/>
    <w:rsid w:val="004B3784"/>
    <w:rsid w:val="004B3F38"/>
    <w:rsid w:val="004B4524"/>
    <w:rsid w:val="004B4A95"/>
    <w:rsid w:val="004B5E8A"/>
    <w:rsid w:val="004B63D4"/>
    <w:rsid w:val="004B6441"/>
    <w:rsid w:val="004B65DC"/>
    <w:rsid w:val="004B6F2A"/>
    <w:rsid w:val="004B7F4E"/>
    <w:rsid w:val="004C0068"/>
    <w:rsid w:val="004C036F"/>
    <w:rsid w:val="004C0526"/>
    <w:rsid w:val="004C068E"/>
    <w:rsid w:val="004C083A"/>
    <w:rsid w:val="004C0DCB"/>
    <w:rsid w:val="004C1A20"/>
    <w:rsid w:val="004C1E06"/>
    <w:rsid w:val="004C20E4"/>
    <w:rsid w:val="004C2A8D"/>
    <w:rsid w:val="004C3F8F"/>
    <w:rsid w:val="004C4425"/>
    <w:rsid w:val="004C4B7E"/>
    <w:rsid w:val="004C5088"/>
    <w:rsid w:val="004C5420"/>
    <w:rsid w:val="004C54D7"/>
    <w:rsid w:val="004C55F1"/>
    <w:rsid w:val="004C579D"/>
    <w:rsid w:val="004C57E1"/>
    <w:rsid w:val="004C6163"/>
    <w:rsid w:val="004C6322"/>
    <w:rsid w:val="004C699D"/>
    <w:rsid w:val="004C6AAA"/>
    <w:rsid w:val="004C6C65"/>
    <w:rsid w:val="004C6E77"/>
    <w:rsid w:val="004C7B1C"/>
    <w:rsid w:val="004C7B7C"/>
    <w:rsid w:val="004C7CA5"/>
    <w:rsid w:val="004D0502"/>
    <w:rsid w:val="004D05D8"/>
    <w:rsid w:val="004D06FE"/>
    <w:rsid w:val="004D0C1A"/>
    <w:rsid w:val="004D0C79"/>
    <w:rsid w:val="004D0E64"/>
    <w:rsid w:val="004D0FE3"/>
    <w:rsid w:val="004D14A1"/>
    <w:rsid w:val="004D15E2"/>
    <w:rsid w:val="004D17B1"/>
    <w:rsid w:val="004D1940"/>
    <w:rsid w:val="004D197E"/>
    <w:rsid w:val="004D19D6"/>
    <w:rsid w:val="004D1B85"/>
    <w:rsid w:val="004D1C45"/>
    <w:rsid w:val="004D228E"/>
    <w:rsid w:val="004D2561"/>
    <w:rsid w:val="004D256F"/>
    <w:rsid w:val="004D2A77"/>
    <w:rsid w:val="004D2B72"/>
    <w:rsid w:val="004D2E85"/>
    <w:rsid w:val="004D3710"/>
    <w:rsid w:val="004D3715"/>
    <w:rsid w:val="004D3760"/>
    <w:rsid w:val="004D3873"/>
    <w:rsid w:val="004D4548"/>
    <w:rsid w:val="004D481F"/>
    <w:rsid w:val="004D4982"/>
    <w:rsid w:val="004D4999"/>
    <w:rsid w:val="004D4A9B"/>
    <w:rsid w:val="004D4C99"/>
    <w:rsid w:val="004D4D69"/>
    <w:rsid w:val="004D5415"/>
    <w:rsid w:val="004D54FB"/>
    <w:rsid w:val="004D55C4"/>
    <w:rsid w:val="004D5DD5"/>
    <w:rsid w:val="004D60BB"/>
    <w:rsid w:val="004D667F"/>
    <w:rsid w:val="004D766B"/>
    <w:rsid w:val="004D7D13"/>
    <w:rsid w:val="004D7EF1"/>
    <w:rsid w:val="004E0610"/>
    <w:rsid w:val="004E07CD"/>
    <w:rsid w:val="004E0B57"/>
    <w:rsid w:val="004E0FE9"/>
    <w:rsid w:val="004E1283"/>
    <w:rsid w:val="004E1799"/>
    <w:rsid w:val="004E1A4D"/>
    <w:rsid w:val="004E1A95"/>
    <w:rsid w:val="004E1B7D"/>
    <w:rsid w:val="004E1E77"/>
    <w:rsid w:val="004E2081"/>
    <w:rsid w:val="004E2109"/>
    <w:rsid w:val="004E21E6"/>
    <w:rsid w:val="004E2830"/>
    <w:rsid w:val="004E2A3B"/>
    <w:rsid w:val="004E2D56"/>
    <w:rsid w:val="004E33E1"/>
    <w:rsid w:val="004E3975"/>
    <w:rsid w:val="004E3A65"/>
    <w:rsid w:val="004E3C4D"/>
    <w:rsid w:val="004E4239"/>
    <w:rsid w:val="004E43F2"/>
    <w:rsid w:val="004E476F"/>
    <w:rsid w:val="004E4DF5"/>
    <w:rsid w:val="004E5D0D"/>
    <w:rsid w:val="004E61B3"/>
    <w:rsid w:val="004E6745"/>
    <w:rsid w:val="004E727E"/>
    <w:rsid w:val="004E73C7"/>
    <w:rsid w:val="004E76A8"/>
    <w:rsid w:val="004E7D53"/>
    <w:rsid w:val="004F00EF"/>
    <w:rsid w:val="004F0124"/>
    <w:rsid w:val="004F066E"/>
    <w:rsid w:val="004F11FE"/>
    <w:rsid w:val="004F143F"/>
    <w:rsid w:val="004F1959"/>
    <w:rsid w:val="004F398D"/>
    <w:rsid w:val="004F3ACA"/>
    <w:rsid w:val="004F3E43"/>
    <w:rsid w:val="004F40B6"/>
    <w:rsid w:val="004F4CFC"/>
    <w:rsid w:val="004F5830"/>
    <w:rsid w:val="004F5D71"/>
    <w:rsid w:val="004F5DB2"/>
    <w:rsid w:val="004F62DD"/>
    <w:rsid w:val="004F63C8"/>
    <w:rsid w:val="004F6AA6"/>
    <w:rsid w:val="004F7186"/>
    <w:rsid w:val="004F7B76"/>
    <w:rsid w:val="004F7E16"/>
    <w:rsid w:val="004F7E57"/>
    <w:rsid w:val="00500523"/>
    <w:rsid w:val="00500CC1"/>
    <w:rsid w:val="00500F65"/>
    <w:rsid w:val="0050150D"/>
    <w:rsid w:val="00501551"/>
    <w:rsid w:val="00501FE4"/>
    <w:rsid w:val="00502A75"/>
    <w:rsid w:val="00502D5C"/>
    <w:rsid w:val="005030D0"/>
    <w:rsid w:val="00503919"/>
    <w:rsid w:val="00504264"/>
    <w:rsid w:val="00504F23"/>
    <w:rsid w:val="005051CB"/>
    <w:rsid w:val="0050527C"/>
    <w:rsid w:val="00505668"/>
    <w:rsid w:val="00505721"/>
    <w:rsid w:val="00505C00"/>
    <w:rsid w:val="00505D41"/>
    <w:rsid w:val="00505FEA"/>
    <w:rsid w:val="00506089"/>
    <w:rsid w:val="00506265"/>
    <w:rsid w:val="0050682B"/>
    <w:rsid w:val="00506CFE"/>
    <w:rsid w:val="00506D84"/>
    <w:rsid w:val="005079D7"/>
    <w:rsid w:val="005105F1"/>
    <w:rsid w:val="00511F8B"/>
    <w:rsid w:val="00512178"/>
    <w:rsid w:val="00512998"/>
    <w:rsid w:val="0051299C"/>
    <w:rsid w:val="005129C2"/>
    <w:rsid w:val="00512D73"/>
    <w:rsid w:val="00513866"/>
    <w:rsid w:val="005140FF"/>
    <w:rsid w:val="005149B6"/>
    <w:rsid w:val="00514F58"/>
    <w:rsid w:val="0051546D"/>
    <w:rsid w:val="00515568"/>
    <w:rsid w:val="00515585"/>
    <w:rsid w:val="005156C4"/>
    <w:rsid w:val="00516948"/>
    <w:rsid w:val="00516AB5"/>
    <w:rsid w:val="00516B16"/>
    <w:rsid w:val="00517293"/>
    <w:rsid w:val="0051736D"/>
    <w:rsid w:val="005175F4"/>
    <w:rsid w:val="00517601"/>
    <w:rsid w:val="00517DBE"/>
    <w:rsid w:val="00517FBB"/>
    <w:rsid w:val="00520245"/>
    <w:rsid w:val="00520331"/>
    <w:rsid w:val="00520339"/>
    <w:rsid w:val="00520E65"/>
    <w:rsid w:val="0052143A"/>
    <w:rsid w:val="005217B2"/>
    <w:rsid w:val="00521BE7"/>
    <w:rsid w:val="00521CCC"/>
    <w:rsid w:val="00523703"/>
    <w:rsid w:val="00523A68"/>
    <w:rsid w:val="00523B67"/>
    <w:rsid w:val="00524174"/>
    <w:rsid w:val="00524560"/>
    <w:rsid w:val="00524738"/>
    <w:rsid w:val="005247BD"/>
    <w:rsid w:val="00524960"/>
    <w:rsid w:val="00524CC1"/>
    <w:rsid w:val="0052554D"/>
    <w:rsid w:val="00525693"/>
    <w:rsid w:val="00525E20"/>
    <w:rsid w:val="00525EFD"/>
    <w:rsid w:val="00525EFE"/>
    <w:rsid w:val="00525F6C"/>
    <w:rsid w:val="00526052"/>
    <w:rsid w:val="0052612F"/>
    <w:rsid w:val="00526D19"/>
    <w:rsid w:val="00527493"/>
    <w:rsid w:val="00527785"/>
    <w:rsid w:val="00527E31"/>
    <w:rsid w:val="00527EED"/>
    <w:rsid w:val="00530032"/>
    <w:rsid w:val="005309D8"/>
    <w:rsid w:val="00530F20"/>
    <w:rsid w:val="00530FE6"/>
    <w:rsid w:val="005318D4"/>
    <w:rsid w:val="00531BB4"/>
    <w:rsid w:val="00531F78"/>
    <w:rsid w:val="00532244"/>
    <w:rsid w:val="00532529"/>
    <w:rsid w:val="005336C9"/>
    <w:rsid w:val="00533B36"/>
    <w:rsid w:val="00533D87"/>
    <w:rsid w:val="00534FAC"/>
    <w:rsid w:val="005353EB"/>
    <w:rsid w:val="00535575"/>
    <w:rsid w:val="00536356"/>
    <w:rsid w:val="005375A7"/>
    <w:rsid w:val="00537C45"/>
    <w:rsid w:val="00537EC5"/>
    <w:rsid w:val="00540A37"/>
    <w:rsid w:val="00540E0F"/>
    <w:rsid w:val="005416BB"/>
    <w:rsid w:val="00541C8B"/>
    <w:rsid w:val="00542779"/>
    <w:rsid w:val="00542A62"/>
    <w:rsid w:val="00542A73"/>
    <w:rsid w:val="00542C1C"/>
    <w:rsid w:val="00542CBD"/>
    <w:rsid w:val="00542CEC"/>
    <w:rsid w:val="00542DD2"/>
    <w:rsid w:val="00543133"/>
    <w:rsid w:val="005434FE"/>
    <w:rsid w:val="00543669"/>
    <w:rsid w:val="00543D81"/>
    <w:rsid w:val="00543DF3"/>
    <w:rsid w:val="00543FB4"/>
    <w:rsid w:val="0054453F"/>
    <w:rsid w:val="00544739"/>
    <w:rsid w:val="005456D6"/>
    <w:rsid w:val="00545A2E"/>
    <w:rsid w:val="005467C1"/>
    <w:rsid w:val="00546868"/>
    <w:rsid w:val="0054688F"/>
    <w:rsid w:val="0054719F"/>
    <w:rsid w:val="00547A86"/>
    <w:rsid w:val="00547B50"/>
    <w:rsid w:val="00547DC7"/>
    <w:rsid w:val="00550688"/>
    <w:rsid w:val="00550C6B"/>
    <w:rsid w:val="0055101F"/>
    <w:rsid w:val="00551AF4"/>
    <w:rsid w:val="00552307"/>
    <w:rsid w:val="005523E1"/>
    <w:rsid w:val="0055255E"/>
    <w:rsid w:val="00552720"/>
    <w:rsid w:val="00552BAC"/>
    <w:rsid w:val="00552CA8"/>
    <w:rsid w:val="00553CB0"/>
    <w:rsid w:val="005541C1"/>
    <w:rsid w:val="00554A7F"/>
    <w:rsid w:val="00554D7B"/>
    <w:rsid w:val="00554DBA"/>
    <w:rsid w:val="005551B1"/>
    <w:rsid w:val="00555B66"/>
    <w:rsid w:val="00555ED8"/>
    <w:rsid w:val="0055638A"/>
    <w:rsid w:val="00557223"/>
    <w:rsid w:val="005574D4"/>
    <w:rsid w:val="00557F3B"/>
    <w:rsid w:val="0056032A"/>
    <w:rsid w:val="00560493"/>
    <w:rsid w:val="00560982"/>
    <w:rsid w:val="00560A4D"/>
    <w:rsid w:val="0056143A"/>
    <w:rsid w:val="00561B8F"/>
    <w:rsid w:val="005623FE"/>
    <w:rsid w:val="00562ECC"/>
    <w:rsid w:val="00563624"/>
    <w:rsid w:val="00563854"/>
    <w:rsid w:val="00563F7B"/>
    <w:rsid w:val="0056441B"/>
    <w:rsid w:val="00564A9D"/>
    <w:rsid w:val="00564D36"/>
    <w:rsid w:val="00564DDE"/>
    <w:rsid w:val="00565303"/>
    <w:rsid w:val="005663BE"/>
    <w:rsid w:val="00567F93"/>
    <w:rsid w:val="00570F1F"/>
    <w:rsid w:val="00570F88"/>
    <w:rsid w:val="005714D0"/>
    <w:rsid w:val="005716D7"/>
    <w:rsid w:val="00571922"/>
    <w:rsid w:val="00571F1B"/>
    <w:rsid w:val="00572183"/>
    <w:rsid w:val="005723EE"/>
    <w:rsid w:val="005724D7"/>
    <w:rsid w:val="00572B7C"/>
    <w:rsid w:val="00572DE9"/>
    <w:rsid w:val="00572F0C"/>
    <w:rsid w:val="00573064"/>
    <w:rsid w:val="005739DF"/>
    <w:rsid w:val="00573C2A"/>
    <w:rsid w:val="00574738"/>
    <w:rsid w:val="00576618"/>
    <w:rsid w:val="005766E9"/>
    <w:rsid w:val="005768A0"/>
    <w:rsid w:val="00577A0E"/>
    <w:rsid w:val="00577F46"/>
    <w:rsid w:val="00581083"/>
    <w:rsid w:val="005812F4"/>
    <w:rsid w:val="00581604"/>
    <w:rsid w:val="00581981"/>
    <w:rsid w:val="005829F3"/>
    <w:rsid w:val="00582A9B"/>
    <w:rsid w:val="00582E15"/>
    <w:rsid w:val="005832A7"/>
    <w:rsid w:val="005835DB"/>
    <w:rsid w:val="005835EC"/>
    <w:rsid w:val="005837A2"/>
    <w:rsid w:val="00583F1E"/>
    <w:rsid w:val="00583F95"/>
    <w:rsid w:val="00584AB5"/>
    <w:rsid w:val="00585637"/>
    <w:rsid w:val="00585A27"/>
    <w:rsid w:val="00585B82"/>
    <w:rsid w:val="00585F7F"/>
    <w:rsid w:val="0058786D"/>
    <w:rsid w:val="005903A1"/>
    <w:rsid w:val="005914E8"/>
    <w:rsid w:val="005915AD"/>
    <w:rsid w:val="005918DC"/>
    <w:rsid w:val="00591B6C"/>
    <w:rsid w:val="00592186"/>
    <w:rsid w:val="00592716"/>
    <w:rsid w:val="00592CA2"/>
    <w:rsid w:val="00593968"/>
    <w:rsid w:val="00593E7C"/>
    <w:rsid w:val="00593F56"/>
    <w:rsid w:val="005942CD"/>
    <w:rsid w:val="0059438C"/>
    <w:rsid w:val="00594427"/>
    <w:rsid w:val="005945AB"/>
    <w:rsid w:val="00595720"/>
    <w:rsid w:val="00595F3F"/>
    <w:rsid w:val="00596279"/>
    <w:rsid w:val="00596314"/>
    <w:rsid w:val="00596957"/>
    <w:rsid w:val="00596ABB"/>
    <w:rsid w:val="00596E6F"/>
    <w:rsid w:val="00596E7F"/>
    <w:rsid w:val="00597075"/>
    <w:rsid w:val="005970C7"/>
    <w:rsid w:val="00597404"/>
    <w:rsid w:val="005978F2"/>
    <w:rsid w:val="005A02FF"/>
    <w:rsid w:val="005A035E"/>
    <w:rsid w:val="005A07F2"/>
    <w:rsid w:val="005A0B0B"/>
    <w:rsid w:val="005A0B78"/>
    <w:rsid w:val="005A363F"/>
    <w:rsid w:val="005A551D"/>
    <w:rsid w:val="005A5C9B"/>
    <w:rsid w:val="005A6321"/>
    <w:rsid w:val="005A6439"/>
    <w:rsid w:val="005A7A9C"/>
    <w:rsid w:val="005B023D"/>
    <w:rsid w:val="005B0D48"/>
    <w:rsid w:val="005B0DE7"/>
    <w:rsid w:val="005B1168"/>
    <w:rsid w:val="005B11CA"/>
    <w:rsid w:val="005B1CC8"/>
    <w:rsid w:val="005B1D05"/>
    <w:rsid w:val="005B2550"/>
    <w:rsid w:val="005B2AFE"/>
    <w:rsid w:val="005B2C9A"/>
    <w:rsid w:val="005B2D31"/>
    <w:rsid w:val="005B346C"/>
    <w:rsid w:val="005B3748"/>
    <w:rsid w:val="005B37E2"/>
    <w:rsid w:val="005B4280"/>
    <w:rsid w:val="005B42E2"/>
    <w:rsid w:val="005B4326"/>
    <w:rsid w:val="005B4578"/>
    <w:rsid w:val="005B46B9"/>
    <w:rsid w:val="005B4979"/>
    <w:rsid w:val="005B4A73"/>
    <w:rsid w:val="005B4A93"/>
    <w:rsid w:val="005B4BE6"/>
    <w:rsid w:val="005B4F39"/>
    <w:rsid w:val="005B51FB"/>
    <w:rsid w:val="005B60FE"/>
    <w:rsid w:val="005B6330"/>
    <w:rsid w:val="005B65C8"/>
    <w:rsid w:val="005B67EE"/>
    <w:rsid w:val="005B6C30"/>
    <w:rsid w:val="005B6D3B"/>
    <w:rsid w:val="005B6E91"/>
    <w:rsid w:val="005B700A"/>
    <w:rsid w:val="005B7F54"/>
    <w:rsid w:val="005C02F5"/>
    <w:rsid w:val="005C0BD7"/>
    <w:rsid w:val="005C0EB6"/>
    <w:rsid w:val="005C0EF8"/>
    <w:rsid w:val="005C1104"/>
    <w:rsid w:val="005C15BB"/>
    <w:rsid w:val="005C178B"/>
    <w:rsid w:val="005C17A9"/>
    <w:rsid w:val="005C219B"/>
    <w:rsid w:val="005C24BC"/>
    <w:rsid w:val="005C274E"/>
    <w:rsid w:val="005C2836"/>
    <w:rsid w:val="005C2FED"/>
    <w:rsid w:val="005C33EB"/>
    <w:rsid w:val="005C3433"/>
    <w:rsid w:val="005C370D"/>
    <w:rsid w:val="005C3B63"/>
    <w:rsid w:val="005C3C8A"/>
    <w:rsid w:val="005C4421"/>
    <w:rsid w:val="005C447D"/>
    <w:rsid w:val="005C47DD"/>
    <w:rsid w:val="005C47FD"/>
    <w:rsid w:val="005C4AC8"/>
    <w:rsid w:val="005C54B2"/>
    <w:rsid w:val="005C55F9"/>
    <w:rsid w:val="005C6108"/>
    <w:rsid w:val="005C71BE"/>
    <w:rsid w:val="005C751E"/>
    <w:rsid w:val="005C75E3"/>
    <w:rsid w:val="005C7711"/>
    <w:rsid w:val="005C777A"/>
    <w:rsid w:val="005C78EC"/>
    <w:rsid w:val="005C79CB"/>
    <w:rsid w:val="005C7B1F"/>
    <w:rsid w:val="005D07CC"/>
    <w:rsid w:val="005D1069"/>
    <w:rsid w:val="005D1EF0"/>
    <w:rsid w:val="005D1F6A"/>
    <w:rsid w:val="005D2639"/>
    <w:rsid w:val="005D3161"/>
    <w:rsid w:val="005D3AC4"/>
    <w:rsid w:val="005D3C23"/>
    <w:rsid w:val="005D423C"/>
    <w:rsid w:val="005D4DE6"/>
    <w:rsid w:val="005D4FCF"/>
    <w:rsid w:val="005D6FA5"/>
    <w:rsid w:val="005D7781"/>
    <w:rsid w:val="005D7821"/>
    <w:rsid w:val="005D7A55"/>
    <w:rsid w:val="005E12F8"/>
    <w:rsid w:val="005E1311"/>
    <w:rsid w:val="005E1455"/>
    <w:rsid w:val="005E1830"/>
    <w:rsid w:val="005E19A7"/>
    <w:rsid w:val="005E1BFA"/>
    <w:rsid w:val="005E2AB8"/>
    <w:rsid w:val="005E2AE2"/>
    <w:rsid w:val="005E2CA1"/>
    <w:rsid w:val="005E3298"/>
    <w:rsid w:val="005E3518"/>
    <w:rsid w:val="005E3798"/>
    <w:rsid w:val="005E3D58"/>
    <w:rsid w:val="005E4268"/>
    <w:rsid w:val="005E4452"/>
    <w:rsid w:val="005E4C51"/>
    <w:rsid w:val="005E51BF"/>
    <w:rsid w:val="005E55A0"/>
    <w:rsid w:val="005E5A47"/>
    <w:rsid w:val="005E5DFE"/>
    <w:rsid w:val="005E5E8B"/>
    <w:rsid w:val="005E5EBD"/>
    <w:rsid w:val="005E5F55"/>
    <w:rsid w:val="005E62D3"/>
    <w:rsid w:val="005E63A8"/>
    <w:rsid w:val="005E64EA"/>
    <w:rsid w:val="005E6A02"/>
    <w:rsid w:val="005E6E85"/>
    <w:rsid w:val="005E7466"/>
    <w:rsid w:val="005E7850"/>
    <w:rsid w:val="005E7979"/>
    <w:rsid w:val="005F0568"/>
    <w:rsid w:val="005F0995"/>
    <w:rsid w:val="005F0B02"/>
    <w:rsid w:val="005F1755"/>
    <w:rsid w:val="005F1847"/>
    <w:rsid w:val="005F1885"/>
    <w:rsid w:val="005F1EAD"/>
    <w:rsid w:val="005F2557"/>
    <w:rsid w:val="005F28A5"/>
    <w:rsid w:val="005F2A67"/>
    <w:rsid w:val="005F2AEC"/>
    <w:rsid w:val="005F32F7"/>
    <w:rsid w:val="005F3AA6"/>
    <w:rsid w:val="005F3EFF"/>
    <w:rsid w:val="005F3F77"/>
    <w:rsid w:val="005F44D7"/>
    <w:rsid w:val="005F4998"/>
    <w:rsid w:val="005F4E34"/>
    <w:rsid w:val="005F5015"/>
    <w:rsid w:val="005F5643"/>
    <w:rsid w:val="005F58CD"/>
    <w:rsid w:val="005F5D1D"/>
    <w:rsid w:val="005F5E48"/>
    <w:rsid w:val="005F634D"/>
    <w:rsid w:val="005F659C"/>
    <w:rsid w:val="005F6877"/>
    <w:rsid w:val="005F69A4"/>
    <w:rsid w:val="005F6BFB"/>
    <w:rsid w:val="005F6E78"/>
    <w:rsid w:val="005F75C2"/>
    <w:rsid w:val="00600013"/>
    <w:rsid w:val="006003E9"/>
    <w:rsid w:val="006011CC"/>
    <w:rsid w:val="006016A6"/>
    <w:rsid w:val="00601C14"/>
    <w:rsid w:val="00602044"/>
    <w:rsid w:val="00603E0D"/>
    <w:rsid w:val="006044E8"/>
    <w:rsid w:val="006046D3"/>
    <w:rsid w:val="00604923"/>
    <w:rsid w:val="00604B99"/>
    <w:rsid w:val="00604C62"/>
    <w:rsid w:val="0060560F"/>
    <w:rsid w:val="00605724"/>
    <w:rsid w:val="00605773"/>
    <w:rsid w:val="0060599F"/>
    <w:rsid w:val="006063E7"/>
    <w:rsid w:val="00606479"/>
    <w:rsid w:val="00606486"/>
    <w:rsid w:val="0060652C"/>
    <w:rsid w:val="00606861"/>
    <w:rsid w:val="006071F3"/>
    <w:rsid w:val="006078C4"/>
    <w:rsid w:val="00610676"/>
    <w:rsid w:val="006108AD"/>
    <w:rsid w:val="00610989"/>
    <w:rsid w:val="00610ACE"/>
    <w:rsid w:val="00610D17"/>
    <w:rsid w:val="0061123A"/>
    <w:rsid w:val="00611E7D"/>
    <w:rsid w:val="00612397"/>
    <w:rsid w:val="00612EEF"/>
    <w:rsid w:val="0061384C"/>
    <w:rsid w:val="00613E01"/>
    <w:rsid w:val="00613EAF"/>
    <w:rsid w:val="00614695"/>
    <w:rsid w:val="006146D1"/>
    <w:rsid w:val="006147F3"/>
    <w:rsid w:val="00614AE2"/>
    <w:rsid w:val="00614D85"/>
    <w:rsid w:val="006151F5"/>
    <w:rsid w:val="00615B5E"/>
    <w:rsid w:val="00615C08"/>
    <w:rsid w:val="006164E2"/>
    <w:rsid w:val="006165C1"/>
    <w:rsid w:val="006166FC"/>
    <w:rsid w:val="006169AF"/>
    <w:rsid w:val="00616B5F"/>
    <w:rsid w:val="00616F3F"/>
    <w:rsid w:val="00617968"/>
    <w:rsid w:val="00617A49"/>
    <w:rsid w:val="00620830"/>
    <w:rsid w:val="00621533"/>
    <w:rsid w:val="006220D9"/>
    <w:rsid w:val="00622627"/>
    <w:rsid w:val="00622AA6"/>
    <w:rsid w:val="00622E67"/>
    <w:rsid w:val="00623CD6"/>
    <w:rsid w:val="00623F09"/>
    <w:rsid w:val="006240F1"/>
    <w:rsid w:val="0062482B"/>
    <w:rsid w:val="0062485C"/>
    <w:rsid w:val="00624A72"/>
    <w:rsid w:val="00624F2C"/>
    <w:rsid w:val="006255F7"/>
    <w:rsid w:val="00625736"/>
    <w:rsid w:val="00625AB9"/>
    <w:rsid w:val="00625E4F"/>
    <w:rsid w:val="00627788"/>
    <w:rsid w:val="00627BC9"/>
    <w:rsid w:val="00627C2A"/>
    <w:rsid w:val="00630658"/>
    <w:rsid w:val="006306D8"/>
    <w:rsid w:val="00630C60"/>
    <w:rsid w:val="00632BC5"/>
    <w:rsid w:val="00633673"/>
    <w:rsid w:val="006337E7"/>
    <w:rsid w:val="00634670"/>
    <w:rsid w:val="00634BDA"/>
    <w:rsid w:val="00635036"/>
    <w:rsid w:val="00635829"/>
    <w:rsid w:val="0063590E"/>
    <w:rsid w:val="0063694A"/>
    <w:rsid w:val="00636AAD"/>
    <w:rsid w:val="00636BF8"/>
    <w:rsid w:val="0063715F"/>
    <w:rsid w:val="00637435"/>
    <w:rsid w:val="00637DDA"/>
    <w:rsid w:val="00637F52"/>
    <w:rsid w:val="0064025F"/>
    <w:rsid w:val="0064084D"/>
    <w:rsid w:val="006409B4"/>
    <w:rsid w:val="00640C27"/>
    <w:rsid w:val="00641455"/>
    <w:rsid w:val="00641A4A"/>
    <w:rsid w:val="00641B33"/>
    <w:rsid w:val="00641E11"/>
    <w:rsid w:val="00642502"/>
    <w:rsid w:val="006426DB"/>
    <w:rsid w:val="00642842"/>
    <w:rsid w:val="00643077"/>
    <w:rsid w:val="00643E49"/>
    <w:rsid w:val="00644017"/>
    <w:rsid w:val="00644089"/>
    <w:rsid w:val="00644708"/>
    <w:rsid w:val="00644A8F"/>
    <w:rsid w:val="006452E0"/>
    <w:rsid w:val="00646A91"/>
    <w:rsid w:val="00646B22"/>
    <w:rsid w:val="00647504"/>
    <w:rsid w:val="00647A81"/>
    <w:rsid w:val="00647CC1"/>
    <w:rsid w:val="006506B6"/>
    <w:rsid w:val="00650E40"/>
    <w:rsid w:val="00650FE4"/>
    <w:rsid w:val="006516B0"/>
    <w:rsid w:val="006516B3"/>
    <w:rsid w:val="00651E43"/>
    <w:rsid w:val="00652170"/>
    <w:rsid w:val="0065221A"/>
    <w:rsid w:val="0065275E"/>
    <w:rsid w:val="00652BC8"/>
    <w:rsid w:val="00652BCC"/>
    <w:rsid w:val="00654316"/>
    <w:rsid w:val="00654998"/>
    <w:rsid w:val="006549C5"/>
    <w:rsid w:val="00654F90"/>
    <w:rsid w:val="00655121"/>
    <w:rsid w:val="0065592B"/>
    <w:rsid w:val="00655B9B"/>
    <w:rsid w:val="00655DFB"/>
    <w:rsid w:val="006563D5"/>
    <w:rsid w:val="00656C7E"/>
    <w:rsid w:val="00656DD2"/>
    <w:rsid w:val="00657965"/>
    <w:rsid w:val="00657A38"/>
    <w:rsid w:val="00657A73"/>
    <w:rsid w:val="00657B5F"/>
    <w:rsid w:val="00657E94"/>
    <w:rsid w:val="00657FA7"/>
    <w:rsid w:val="00660414"/>
    <w:rsid w:val="006607F4"/>
    <w:rsid w:val="00660A0A"/>
    <w:rsid w:val="00660A30"/>
    <w:rsid w:val="00661189"/>
    <w:rsid w:val="006613BD"/>
    <w:rsid w:val="006614DE"/>
    <w:rsid w:val="006618E8"/>
    <w:rsid w:val="006622AF"/>
    <w:rsid w:val="0066248D"/>
    <w:rsid w:val="00662A21"/>
    <w:rsid w:val="00662FB9"/>
    <w:rsid w:val="006635D2"/>
    <w:rsid w:val="006638E8"/>
    <w:rsid w:val="0066495C"/>
    <w:rsid w:val="00665423"/>
    <w:rsid w:val="0066544E"/>
    <w:rsid w:val="006659EC"/>
    <w:rsid w:val="00665BDF"/>
    <w:rsid w:val="00665FE9"/>
    <w:rsid w:val="00666552"/>
    <w:rsid w:val="0067054C"/>
    <w:rsid w:val="0067064E"/>
    <w:rsid w:val="00670B39"/>
    <w:rsid w:val="00670B52"/>
    <w:rsid w:val="00670F82"/>
    <w:rsid w:val="0067144A"/>
    <w:rsid w:val="006714A1"/>
    <w:rsid w:val="00671C73"/>
    <w:rsid w:val="00672269"/>
    <w:rsid w:val="006725A6"/>
    <w:rsid w:val="00672D77"/>
    <w:rsid w:val="00672F6E"/>
    <w:rsid w:val="00673063"/>
    <w:rsid w:val="00673329"/>
    <w:rsid w:val="00673C4D"/>
    <w:rsid w:val="00673E1C"/>
    <w:rsid w:val="006742AC"/>
    <w:rsid w:val="0067433A"/>
    <w:rsid w:val="0067443C"/>
    <w:rsid w:val="00674793"/>
    <w:rsid w:val="006749DA"/>
    <w:rsid w:val="00675688"/>
    <w:rsid w:val="00675DE0"/>
    <w:rsid w:val="00677055"/>
    <w:rsid w:val="0067748F"/>
    <w:rsid w:val="00677515"/>
    <w:rsid w:val="00677717"/>
    <w:rsid w:val="0067796D"/>
    <w:rsid w:val="00677A7E"/>
    <w:rsid w:val="00677CE4"/>
    <w:rsid w:val="006810E1"/>
    <w:rsid w:val="0068191F"/>
    <w:rsid w:val="006819C4"/>
    <w:rsid w:val="00681F86"/>
    <w:rsid w:val="006827C5"/>
    <w:rsid w:val="00682EC3"/>
    <w:rsid w:val="00682EE3"/>
    <w:rsid w:val="00683BF2"/>
    <w:rsid w:val="00683E38"/>
    <w:rsid w:val="006843D7"/>
    <w:rsid w:val="006845BC"/>
    <w:rsid w:val="0068547B"/>
    <w:rsid w:val="00685781"/>
    <w:rsid w:val="00685DAA"/>
    <w:rsid w:val="00687A70"/>
    <w:rsid w:val="00687D79"/>
    <w:rsid w:val="00687F0A"/>
    <w:rsid w:val="0069014C"/>
    <w:rsid w:val="0069045C"/>
    <w:rsid w:val="00690DBA"/>
    <w:rsid w:val="006912C6"/>
    <w:rsid w:val="006919E6"/>
    <w:rsid w:val="00692945"/>
    <w:rsid w:val="006934DF"/>
    <w:rsid w:val="00693ABA"/>
    <w:rsid w:val="00693CF6"/>
    <w:rsid w:val="00694B21"/>
    <w:rsid w:val="00694B42"/>
    <w:rsid w:val="00694BF3"/>
    <w:rsid w:val="00694EE3"/>
    <w:rsid w:val="00695509"/>
    <w:rsid w:val="006955EA"/>
    <w:rsid w:val="00695640"/>
    <w:rsid w:val="00695F01"/>
    <w:rsid w:val="006961DB"/>
    <w:rsid w:val="0069648E"/>
    <w:rsid w:val="00696586"/>
    <w:rsid w:val="00697033"/>
    <w:rsid w:val="006974B1"/>
    <w:rsid w:val="00697892"/>
    <w:rsid w:val="00697F85"/>
    <w:rsid w:val="006A01FC"/>
    <w:rsid w:val="006A0F1C"/>
    <w:rsid w:val="006A106A"/>
    <w:rsid w:val="006A1581"/>
    <w:rsid w:val="006A19A7"/>
    <w:rsid w:val="006A2161"/>
    <w:rsid w:val="006A22C9"/>
    <w:rsid w:val="006A2556"/>
    <w:rsid w:val="006A28ED"/>
    <w:rsid w:val="006A2BC1"/>
    <w:rsid w:val="006A2CEC"/>
    <w:rsid w:val="006A2D63"/>
    <w:rsid w:val="006A30CC"/>
    <w:rsid w:val="006A34A9"/>
    <w:rsid w:val="006A3C29"/>
    <w:rsid w:val="006A43E5"/>
    <w:rsid w:val="006A4653"/>
    <w:rsid w:val="006A49D6"/>
    <w:rsid w:val="006A4F4D"/>
    <w:rsid w:val="006A5004"/>
    <w:rsid w:val="006A54DD"/>
    <w:rsid w:val="006A6171"/>
    <w:rsid w:val="006A6C27"/>
    <w:rsid w:val="006A6E92"/>
    <w:rsid w:val="006A7162"/>
    <w:rsid w:val="006A7202"/>
    <w:rsid w:val="006A7674"/>
    <w:rsid w:val="006A7CDE"/>
    <w:rsid w:val="006B07B1"/>
    <w:rsid w:val="006B1002"/>
    <w:rsid w:val="006B15EC"/>
    <w:rsid w:val="006B167B"/>
    <w:rsid w:val="006B251D"/>
    <w:rsid w:val="006B2852"/>
    <w:rsid w:val="006B2F68"/>
    <w:rsid w:val="006B302F"/>
    <w:rsid w:val="006B31B3"/>
    <w:rsid w:val="006B31FD"/>
    <w:rsid w:val="006B3418"/>
    <w:rsid w:val="006B46B9"/>
    <w:rsid w:val="006B4ACF"/>
    <w:rsid w:val="006B4C30"/>
    <w:rsid w:val="006B4E6A"/>
    <w:rsid w:val="006B4FCA"/>
    <w:rsid w:val="006B56AE"/>
    <w:rsid w:val="006B5C84"/>
    <w:rsid w:val="006B6872"/>
    <w:rsid w:val="006B6F92"/>
    <w:rsid w:val="006B73AA"/>
    <w:rsid w:val="006B761A"/>
    <w:rsid w:val="006B7BD4"/>
    <w:rsid w:val="006B7EEC"/>
    <w:rsid w:val="006C0542"/>
    <w:rsid w:val="006C0669"/>
    <w:rsid w:val="006C1D45"/>
    <w:rsid w:val="006C24A9"/>
    <w:rsid w:val="006C2521"/>
    <w:rsid w:val="006C3A2E"/>
    <w:rsid w:val="006C3D8E"/>
    <w:rsid w:val="006C41D4"/>
    <w:rsid w:val="006C42BD"/>
    <w:rsid w:val="006C44AA"/>
    <w:rsid w:val="006C4E6E"/>
    <w:rsid w:val="006C544A"/>
    <w:rsid w:val="006C5502"/>
    <w:rsid w:val="006C5D92"/>
    <w:rsid w:val="006C640E"/>
    <w:rsid w:val="006C6742"/>
    <w:rsid w:val="006C6903"/>
    <w:rsid w:val="006C7456"/>
    <w:rsid w:val="006C79F1"/>
    <w:rsid w:val="006C7DF1"/>
    <w:rsid w:val="006C7E35"/>
    <w:rsid w:val="006D001E"/>
    <w:rsid w:val="006D020A"/>
    <w:rsid w:val="006D083C"/>
    <w:rsid w:val="006D0DF5"/>
    <w:rsid w:val="006D1494"/>
    <w:rsid w:val="006D15A5"/>
    <w:rsid w:val="006D1AE5"/>
    <w:rsid w:val="006D21B9"/>
    <w:rsid w:val="006D2393"/>
    <w:rsid w:val="006D257C"/>
    <w:rsid w:val="006D2C66"/>
    <w:rsid w:val="006D2CCC"/>
    <w:rsid w:val="006D3C16"/>
    <w:rsid w:val="006D469A"/>
    <w:rsid w:val="006D48AB"/>
    <w:rsid w:val="006D49BB"/>
    <w:rsid w:val="006D4F83"/>
    <w:rsid w:val="006D5748"/>
    <w:rsid w:val="006D5837"/>
    <w:rsid w:val="006D6020"/>
    <w:rsid w:val="006D7353"/>
    <w:rsid w:val="006D7BFE"/>
    <w:rsid w:val="006E0946"/>
    <w:rsid w:val="006E0BCE"/>
    <w:rsid w:val="006E0F0E"/>
    <w:rsid w:val="006E1627"/>
    <w:rsid w:val="006E16B2"/>
    <w:rsid w:val="006E19EE"/>
    <w:rsid w:val="006E1BC5"/>
    <w:rsid w:val="006E1DE8"/>
    <w:rsid w:val="006E1FD4"/>
    <w:rsid w:val="006E32A1"/>
    <w:rsid w:val="006E38E7"/>
    <w:rsid w:val="006E3E91"/>
    <w:rsid w:val="006E4001"/>
    <w:rsid w:val="006E4492"/>
    <w:rsid w:val="006E465A"/>
    <w:rsid w:val="006E4B35"/>
    <w:rsid w:val="006E4D83"/>
    <w:rsid w:val="006E4ECC"/>
    <w:rsid w:val="006E5427"/>
    <w:rsid w:val="006E5745"/>
    <w:rsid w:val="006E5AC1"/>
    <w:rsid w:val="006E6531"/>
    <w:rsid w:val="006E6B9D"/>
    <w:rsid w:val="006E73B6"/>
    <w:rsid w:val="006E79A9"/>
    <w:rsid w:val="006F0614"/>
    <w:rsid w:val="006F075D"/>
    <w:rsid w:val="006F0D2B"/>
    <w:rsid w:val="006F0E6A"/>
    <w:rsid w:val="006F0E8E"/>
    <w:rsid w:val="006F1553"/>
    <w:rsid w:val="006F252F"/>
    <w:rsid w:val="006F25C6"/>
    <w:rsid w:val="006F2614"/>
    <w:rsid w:val="006F2853"/>
    <w:rsid w:val="006F3331"/>
    <w:rsid w:val="006F339A"/>
    <w:rsid w:val="006F39F1"/>
    <w:rsid w:val="006F3C1F"/>
    <w:rsid w:val="006F42B9"/>
    <w:rsid w:val="006F4664"/>
    <w:rsid w:val="006F475A"/>
    <w:rsid w:val="006F4A50"/>
    <w:rsid w:val="006F4D80"/>
    <w:rsid w:val="006F51A3"/>
    <w:rsid w:val="006F54A8"/>
    <w:rsid w:val="006F5765"/>
    <w:rsid w:val="006F663E"/>
    <w:rsid w:val="006F75DF"/>
    <w:rsid w:val="006F772E"/>
    <w:rsid w:val="00700DD8"/>
    <w:rsid w:val="00700E11"/>
    <w:rsid w:val="007011F9"/>
    <w:rsid w:val="0070132A"/>
    <w:rsid w:val="00701B7F"/>
    <w:rsid w:val="00701EC0"/>
    <w:rsid w:val="0070249D"/>
    <w:rsid w:val="007026EA"/>
    <w:rsid w:val="00702A3E"/>
    <w:rsid w:val="00702D45"/>
    <w:rsid w:val="00703061"/>
    <w:rsid w:val="0070333B"/>
    <w:rsid w:val="00703842"/>
    <w:rsid w:val="00703E2B"/>
    <w:rsid w:val="00704506"/>
    <w:rsid w:val="007047B0"/>
    <w:rsid w:val="007052BA"/>
    <w:rsid w:val="00705C34"/>
    <w:rsid w:val="00706713"/>
    <w:rsid w:val="00706BA1"/>
    <w:rsid w:val="00706D1B"/>
    <w:rsid w:val="00707C60"/>
    <w:rsid w:val="00710180"/>
    <w:rsid w:val="007101DC"/>
    <w:rsid w:val="00710DE6"/>
    <w:rsid w:val="00710EF2"/>
    <w:rsid w:val="00711723"/>
    <w:rsid w:val="00711D4A"/>
    <w:rsid w:val="00711FA5"/>
    <w:rsid w:val="0071213E"/>
    <w:rsid w:val="007124A2"/>
    <w:rsid w:val="0071259D"/>
    <w:rsid w:val="007125C4"/>
    <w:rsid w:val="00712AEE"/>
    <w:rsid w:val="0071321C"/>
    <w:rsid w:val="00713793"/>
    <w:rsid w:val="00713C8C"/>
    <w:rsid w:val="00713EAB"/>
    <w:rsid w:val="0071535C"/>
    <w:rsid w:val="00715410"/>
    <w:rsid w:val="00715AC5"/>
    <w:rsid w:val="00715AEF"/>
    <w:rsid w:val="00715DC6"/>
    <w:rsid w:val="007164DC"/>
    <w:rsid w:val="007169F0"/>
    <w:rsid w:val="00717616"/>
    <w:rsid w:val="00717924"/>
    <w:rsid w:val="00720145"/>
    <w:rsid w:val="007201B6"/>
    <w:rsid w:val="007201FB"/>
    <w:rsid w:val="00720223"/>
    <w:rsid w:val="00720D82"/>
    <w:rsid w:val="00721007"/>
    <w:rsid w:val="00721ADD"/>
    <w:rsid w:val="00721B66"/>
    <w:rsid w:val="00722354"/>
    <w:rsid w:val="007225F0"/>
    <w:rsid w:val="0072281E"/>
    <w:rsid w:val="00722B60"/>
    <w:rsid w:val="00722E01"/>
    <w:rsid w:val="007237EE"/>
    <w:rsid w:val="007237F0"/>
    <w:rsid w:val="0072387A"/>
    <w:rsid w:val="00723E16"/>
    <w:rsid w:val="00724E73"/>
    <w:rsid w:val="0072536C"/>
    <w:rsid w:val="007261A4"/>
    <w:rsid w:val="00726449"/>
    <w:rsid w:val="00726C3E"/>
    <w:rsid w:val="00727234"/>
    <w:rsid w:val="0072729D"/>
    <w:rsid w:val="00727433"/>
    <w:rsid w:val="007276CA"/>
    <w:rsid w:val="00727734"/>
    <w:rsid w:val="00727F4C"/>
    <w:rsid w:val="00730556"/>
    <w:rsid w:val="0073056A"/>
    <w:rsid w:val="00730A77"/>
    <w:rsid w:val="00730CD7"/>
    <w:rsid w:val="00731681"/>
    <w:rsid w:val="0073240D"/>
    <w:rsid w:val="0073240F"/>
    <w:rsid w:val="00732434"/>
    <w:rsid w:val="00732575"/>
    <w:rsid w:val="007329EF"/>
    <w:rsid w:val="007329F4"/>
    <w:rsid w:val="007335C6"/>
    <w:rsid w:val="007336C1"/>
    <w:rsid w:val="007337EE"/>
    <w:rsid w:val="007338D4"/>
    <w:rsid w:val="00733AB0"/>
    <w:rsid w:val="007343EE"/>
    <w:rsid w:val="00734672"/>
    <w:rsid w:val="00734734"/>
    <w:rsid w:val="00734E57"/>
    <w:rsid w:val="00734F8A"/>
    <w:rsid w:val="0073641C"/>
    <w:rsid w:val="00736720"/>
    <w:rsid w:val="007368DE"/>
    <w:rsid w:val="00736DF5"/>
    <w:rsid w:val="00737321"/>
    <w:rsid w:val="00737651"/>
    <w:rsid w:val="00737A35"/>
    <w:rsid w:val="00737A3D"/>
    <w:rsid w:val="007401F9"/>
    <w:rsid w:val="0074041D"/>
    <w:rsid w:val="007408EA"/>
    <w:rsid w:val="00740FB5"/>
    <w:rsid w:val="007416FD"/>
    <w:rsid w:val="0074170B"/>
    <w:rsid w:val="007417B4"/>
    <w:rsid w:val="007419B2"/>
    <w:rsid w:val="00741D82"/>
    <w:rsid w:val="00741ED7"/>
    <w:rsid w:val="0074290D"/>
    <w:rsid w:val="007432A0"/>
    <w:rsid w:val="007433A4"/>
    <w:rsid w:val="007436EA"/>
    <w:rsid w:val="00743784"/>
    <w:rsid w:val="00743793"/>
    <w:rsid w:val="00744635"/>
    <w:rsid w:val="00744ADD"/>
    <w:rsid w:val="007452FB"/>
    <w:rsid w:val="00745E82"/>
    <w:rsid w:val="00745EF1"/>
    <w:rsid w:val="00745FC1"/>
    <w:rsid w:val="007464DB"/>
    <w:rsid w:val="00746A8B"/>
    <w:rsid w:val="00746F3C"/>
    <w:rsid w:val="0074706E"/>
    <w:rsid w:val="0074739A"/>
    <w:rsid w:val="0074749B"/>
    <w:rsid w:val="00747567"/>
    <w:rsid w:val="00747590"/>
    <w:rsid w:val="00750276"/>
    <w:rsid w:val="007505C9"/>
    <w:rsid w:val="007506BC"/>
    <w:rsid w:val="00750A9B"/>
    <w:rsid w:val="00751757"/>
    <w:rsid w:val="0075215B"/>
    <w:rsid w:val="00752382"/>
    <w:rsid w:val="007525D9"/>
    <w:rsid w:val="00752F49"/>
    <w:rsid w:val="00753171"/>
    <w:rsid w:val="007533FE"/>
    <w:rsid w:val="00753812"/>
    <w:rsid w:val="007538C5"/>
    <w:rsid w:val="00753DB3"/>
    <w:rsid w:val="007543A5"/>
    <w:rsid w:val="0075457A"/>
    <w:rsid w:val="00754B00"/>
    <w:rsid w:val="00754C4D"/>
    <w:rsid w:val="00756204"/>
    <w:rsid w:val="00756667"/>
    <w:rsid w:val="0075688B"/>
    <w:rsid w:val="00756A5F"/>
    <w:rsid w:val="0075740E"/>
    <w:rsid w:val="00757A36"/>
    <w:rsid w:val="00757DA0"/>
    <w:rsid w:val="00757E0A"/>
    <w:rsid w:val="0076060C"/>
    <w:rsid w:val="00760B85"/>
    <w:rsid w:val="00761081"/>
    <w:rsid w:val="00761656"/>
    <w:rsid w:val="00761FF4"/>
    <w:rsid w:val="007626C5"/>
    <w:rsid w:val="00762A8A"/>
    <w:rsid w:val="00762C1D"/>
    <w:rsid w:val="00762FA2"/>
    <w:rsid w:val="00763554"/>
    <w:rsid w:val="00763B8C"/>
    <w:rsid w:val="00763C5F"/>
    <w:rsid w:val="00763E9B"/>
    <w:rsid w:val="007649F3"/>
    <w:rsid w:val="00764EB5"/>
    <w:rsid w:val="0076564D"/>
    <w:rsid w:val="0076578D"/>
    <w:rsid w:val="007662A9"/>
    <w:rsid w:val="0076690A"/>
    <w:rsid w:val="00766B0A"/>
    <w:rsid w:val="00767424"/>
    <w:rsid w:val="007677CB"/>
    <w:rsid w:val="00767976"/>
    <w:rsid w:val="00767BDA"/>
    <w:rsid w:val="00770BA3"/>
    <w:rsid w:val="00770FDC"/>
    <w:rsid w:val="007716B9"/>
    <w:rsid w:val="00771F80"/>
    <w:rsid w:val="00772338"/>
    <w:rsid w:val="0077245E"/>
    <w:rsid w:val="007725C6"/>
    <w:rsid w:val="007735DC"/>
    <w:rsid w:val="007737E8"/>
    <w:rsid w:val="007745C4"/>
    <w:rsid w:val="007747EE"/>
    <w:rsid w:val="00774A76"/>
    <w:rsid w:val="00774A9E"/>
    <w:rsid w:val="0077549B"/>
    <w:rsid w:val="00775CF2"/>
    <w:rsid w:val="00775D19"/>
    <w:rsid w:val="00776F9E"/>
    <w:rsid w:val="00777E50"/>
    <w:rsid w:val="00780276"/>
    <w:rsid w:val="007804EA"/>
    <w:rsid w:val="00780863"/>
    <w:rsid w:val="00781176"/>
    <w:rsid w:val="00781253"/>
    <w:rsid w:val="00781588"/>
    <w:rsid w:val="00781D43"/>
    <w:rsid w:val="007826DC"/>
    <w:rsid w:val="00782F0C"/>
    <w:rsid w:val="0078308F"/>
    <w:rsid w:val="00783442"/>
    <w:rsid w:val="007836C5"/>
    <w:rsid w:val="00783A5A"/>
    <w:rsid w:val="00784043"/>
    <w:rsid w:val="00784892"/>
    <w:rsid w:val="007848E1"/>
    <w:rsid w:val="00784930"/>
    <w:rsid w:val="0078493A"/>
    <w:rsid w:val="0078496A"/>
    <w:rsid w:val="00785180"/>
    <w:rsid w:val="00785903"/>
    <w:rsid w:val="00786835"/>
    <w:rsid w:val="00786AD7"/>
    <w:rsid w:val="0078771B"/>
    <w:rsid w:val="00787DCF"/>
    <w:rsid w:val="00787FD0"/>
    <w:rsid w:val="00790115"/>
    <w:rsid w:val="0079031B"/>
    <w:rsid w:val="00791405"/>
    <w:rsid w:val="00791986"/>
    <w:rsid w:val="00791B3A"/>
    <w:rsid w:val="00791EFA"/>
    <w:rsid w:val="007926F7"/>
    <w:rsid w:val="007945F8"/>
    <w:rsid w:val="007947FD"/>
    <w:rsid w:val="00794A37"/>
    <w:rsid w:val="00794CC1"/>
    <w:rsid w:val="007957A9"/>
    <w:rsid w:val="00795D6C"/>
    <w:rsid w:val="0079670B"/>
    <w:rsid w:val="00796B68"/>
    <w:rsid w:val="00796C55"/>
    <w:rsid w:val="00797B90"/>
    <w:rsid w:val="00797C25"/>
    <w:rsid w:val="00797EB1"/>
    <w:rsid w:val="007A0AF0"/>
    <w:rsid w:val="007A0D9B"/>
    <w:rsid w:val="007A0FDF"/>
    <w:rsid w:val="007A16CF"/>
    <w:rsid w:val="007A1CA3"/>
    <w:rsid w:val="007A1DC8"/>
    <w:rsid w:val="007A1F6A"/>
    <w:rsid w:val="007A1FFB"/>
    <w:rsid w:val="007A3678"/>
    <w:rsid w:val="007A3B7F"/>
    <w:rsid w:val="007A3CFE"/>
    <w:rsid w:val="007A43A4"/>
    <w:rsid w:val="007A4699"/>
    <w:rsid w:val="007A47F4"/>
    <w:rsid w:val="007A4C58"/>
    <w:rsid w:val="007A4D1C"/>
    <w:rsid w:val="007A51CE"/>
    <w:rsid w:val="007A5979"/>
    <w:rsid w:val="007A5AF4"/>
    <w:rsid w:val="007A5D35"/>
    <w:rsid w:val="007A5F06"/>
    <w:rsid w:val="007A636B"/>
    <w:rsid w:val="007A66C1"/>
    <w:rsid w:val="007B07D9"/>
    <w:rsid w:val="007B099B"/>
    <w:rsid w:val="007B0AA4"/>
    <w:rsid w:val="007B0EC7"/>
    <w:rsid w:val="007B195B"/>
    <w:rsid w:val="007B1E95"/>
    <w:rsid w:val="007B1F95"/>
    <w:rsid w:val="007B2132"/>
    <w:rsid w:val="007B31B4"/>
    <w:rsid w:val="007B32EA"/>
    <w:rsid w:val="007B42F3"/>
    <w:rsid w:val="007B4661"/>
    <w:rsid w:val="007B4B62"/>
    <w:rsid w:val="007B565B"/>
    <w:rsid w:val="007B5EA9"/>
    <w:rsid w:val="007B60B0"/>
    <w:rsid w:val="007B66CD"/>
    <w:rsid w:val="007B688F"/>
    <w:rsid w:val="007B6BFA"/>
    <w:rsid w:val="007B6D8E"/>
    <w:rsid w:val="007B7322"/>
    <w:rsid w:val="007B7EF2"/>
    <w:rsid w:val="007C0167"/>
    <w:rsid w:val="007C02FB"/>
    <w:rsid w:val="007C06F4"/>
    <w:rsid w:val="007C0775"/>
    <w:rsid w:val="007C0BB1"/>
    <w:rsid w:val="007C165B"/>
    <w:rsid w:val="007C1743"/>
    <w:rsid w:val="007C1E74"/>
    <w:rsid w:val="007C2B89"/>
    <w:rsid w:val="007C2FFE"/>
    <w:rsid w:val="007C3198"/>
    <w:rsid w:val="007C352B"/>
    <w:rsid w:val="007C3788"/>
    <w:rsid w:val="007C37B8"/>
    <w:rsid w:val="007C3CC7"/>
    <w:rsid w:val="007C3D08"/>
    <w:rsid w:val="007C3F03"/>
    <w:rsid w:val="007C417C"/>
    <w:rsid w:val="007C5878"/>
    <w:rsid w:val="007C5A38"/>
    <w:rsid w:val="007C6616"/>
    <w:rsid w:val="007C716D"/>
    <w:rsid w:val="007C73F6"/>
    <w:rsid w:val="007C7446"/>
    <w:rsid w:val="007C7FB2"/>
    <w:rsid w:val="007D0F9A"/>
    <w:rsid w:val="007D18A0"/>
    <w:rsid w:val="007D19ED"/>
    <w:rsid w:val="007D24DF"/>
    <w:rsid w:val="007D2F3A"/>
    <w:rsid w:val="007D3489"/>
    <w:rsid w:val="007D3AF8"/>
    <w:rsid w:val="007D3C97"/>
    <w:rsid w:val="007D508C"/>
    <w:rsid w:val="007D53C6"/>
    <w:rsid w:val="007D5516"/>
    <w:rsid w:val="007D591A"/>
    <w:rsid w:val="007D5B44"/>
    <w:rsid w:val="007D5D56"/>
    <w:rsid w:val="007D61AF"/>
    <w:rsid w:val="007D6C8E"/>
    <w:rsid w:val="007D6FAD"/>
    <w:rsid w:val="007D71B1"/>
    <w:rsid w:val="007D7206"/>
    <w:rsid w:val="007D7C88"/>
    <w:rsid w:val="007E062B"/>
    <w:rsid w:val="007E0B97"/>
    <w:rsid w:val="007E0CD4"/>
    <w:rsid w:val="007E160B"/>
    <w:rsid w:val="007E228A"/>
    <w:rsid w:val="007E26A1"/>
    <w:rsid w:val="007E2B27"/>
    <w:rsid w:val="007E305B"/>
    <w:rsid w:val="007E37A1"/>
    <w:rsid w:val="007E3DBE"/>
    <w:rsid w:val="007E3F46"/>
    <w:rsid w:val="007E4547"/>
    <w:rsid w:val="007E4ABC"/>
    <w:rsid w:val="007E4AEA"/>
    <w:rsid w:val="007E52B6"/>
    <w:rsid w:val="007E5879"/>
    <w:rsid w:val="007E5BB8"/>
    <w:rsid w:val="007E6598"/>
    <w:rsid w:val="007E6AFD"/>
    <w:rsid w:val="007E6CAC"/>
    <w:rsid w:val="007E6D37"/>
    <w:rsid w:val="007F03CD"/>
    <w:rsid w:val="007F044B"/>
    <w:rsid w:val="007F0589"/>
    <w:rsid w:val="007F101C"/>
    <w:rsid w:val="007F1487"/>
    <w:rsid w:val="007F1790"/>
    <w:rsid w:val="007F1946"/>
    <w:rsid w:val="007F1BA8"/>
    <w:rsid w:val="007F2410"/>
    <w:rsid w:val="007F29A0"/>
    <w:rsid w:val="007F2AB6"/>
    <w:rsid w:val="007F340A"/>
    <w:rsid w:val="007F429D"/>
    <w:rsid w:val="007F4EA8"/>
    <w:rsid w:val="007F55B9"/>
    <w:rsid w:val="007F5D6F"/>
    <w:rsid w:val="007F5DDB"/>
    <w:rsid w:val="007F6857"/>
    <w:rsid w:val="007F6C7D"/>
    <w:rsid w:val="007F726B"/>
    <w:rsid w:val="007F731A"/>
    <w:rsid w:val="007F78B3"/>
    <w:rsid w:val="007F7CD0"/>
    <w:rsid w:val="007F7F75"/>
    <w:rsid w:val="00800210"/>
    <w:rsid w:val="0080097D"/>
    <w:rsid w:val="00800D70"/>
    <w:rsid w:val="008019F9"/>
    <w:rsid w:val="0080219B"/>
    <w:rsid w:val="00802637"/>
    <w:rsid w:val="00802C50"/>
    <w:rsid w:val="00802F4D"/>
    <w:rsid w:val="0080354E"/>
    <w:rsid w:val="008036A1"/>
    <w:rsid w:val="00803735"/>
    <w:rsid w:val="00803940"/>
    <w:rsid w:val="00803BDD"/>
    <w:rsid w:val="00804042"/>
    <w:rsid w:val="00804431"/>
    <w:rsid w:val="00804532"/>
    <w:rsid w:val="00804842"/>
    <w:rsid w:val="00806133"/>
    <w:rsid w:val="008062F6"/>
    <w:rsid w:val="00806BDE"/>
    <w:rsid w:val="00806CC3"/>
    <w:rsid w:val="00807D55"/>
    <w:rsid w:val="00807FE8"/>
    <w:rsid w:val="008101C0"/>
    <w:rsid w:val="008106C1"/>
    <w:rsid w:val="00810A64"/>
    <w:rsid w:val="008111DF"/>
    <w:rsid w:val="00812935"/>
    <w:rsid w:val="0081309A"/>
    <w:rsid w:val="0081375E"/>
    <w:rsid w:val="00813C68"/>
    <w:rsid w:val="00813EFF"/>
    <w:rsid w:val="00813F36"/>
    <w:rsid w:val="00814992"/>
    <w:rsid w:val="0081525A"/>
    <w:rsid w:val="00817444"/>
    <w:rsid w:val="00817A6C"/>
    <w:rsid w:val="00817AD8"/>
    <w:rsid w:val="0082018A"/>
    <w:rsid w:val="00820391"/>
    <w:rsid w:val="0082048B"/>
    <w:rsid w:val="008205D1"/>
    <w:rsid w:val="00821E16"/>
    <w:rsid w:val="008222D2"/>
    <w:rsid w:val="008224AD"/>
    <w:rsid w:val="00822E3B"/>
    <w:rsid w:val="008233CD"/>
    <w:rsid w:val="008236FF"/>
    <w:rsid w:val="00823E5E"/>
    <w:rsid w:val="0082497C"/>
    <w:rsid w:val="0082517C"/>
    <w:rsid w:val="0082576A"/>
    <w:rsid w:val="008257EC"/>
    <w:rsid w:val="00825F96"/>
    <w:rsid w:val="00826171"/>
    <w:rsid w:val="008261C5"/>
    <w:rsid w:val="00827117"/>
    <w:rsid w:val="00827602"/>
    <w:rsid w:val="00827AC4"/>
    <w:rsid w:val="00827D57"/>
    <w:rsid w:val="00827E1D"/>
    <w:rsid w:val="008306BD"/>
    <w:rsid w:val="00830E08"/>
    <w:rsid w:val="00830FD7"/>
    <w:rsid w:val="008314E4"/>
    <w:rsid w:val="008327C8"/>
    <w:rsid w:val="00832A77"/>
    <w:rsid w:val="008330F0"/>
    <w:rsid w:val="0083317B"/>
    <w:rsid w:val="0083378B"/>
    <w:rsid w:val="00833E5B"/>
    <w:rsid w:val="00833F46"/>
    <w:rsid w:val="00834053"/>
    <w:rsid w:val="008343F1"/>
    <w:rsid w:val="00834559"/>
    <w:rsid w:val="00834B2F"/>
    <w:rsid w:val="00834FA2"/>
    <w:rsid w:val="00835003"/>
    <w:rsid w:val="00835374"/>
    <w:rsid w:val="008354AE"/>
    <w:rsid w:val="00835B3F"/>
    <w:rsid w:val="00835FBB"/>
    <w:rsid w:val="008367D5"/>
    <w:rsid w:val="00840E04"/>
    <w:rsid w:val="00840F55"/>
    <w:rsid w:val="008424B8"/>
    <w:rsid w:val="00842525"/>
    <w:rsid w:val="00842655"/>
    <w:rsid w:val="00843BC0"/>
    <w:rsid w:val="00843E7A"/>
    <w:rsid w:val="008442AF"/>
    <w:rsid w:val="00844390"/>
    <w:rsid w:val="0084473F"/>
    <w:rsid w:val="00844F13"/>
    <w:rsid w:val="00845D5E"/>
    <w:rsid w:val="00846247"/>
    <w:rsid w:val="008463F1"/>
    <w:rsid w:val="00846F52"/>
    <w:rsid w:val="00847EA1"/>
    <w:rsid w:val="00847EDE"/>
    <w:rsid w:val="00850C84"/>
    <w:rsid w:val="008510CE"/>
    <w:rsid w:val="00851CB4"/>
    <w:rsid w:val="00852229"/>
    <w:rsid w:val="00852DE5"/>
    <w:rsid w:val="008533A5"/>
    <w:rsid w:val="00853515"/>
    <w:rsid w:val="0085384C"/>
    <w:rsid w:val="00853ABF"/>
    <w:rsid w:val="008542F4"/>
    <w:rsid w:val="0085467C"/>
    <w:rsid w:val="008547EF"/>
    <w:rsid w:val="00855AFA"/>
    <w:rsid w:val="00856276"/>
    <w:rsid w:val="008562BE"/>
    <w:rsid w:val="00856F08"/>
    <w:rsid w:val="00857EC0"/>
    <w:rsid w:val="008605AB"/>
    <w:rsid w:val="00860DC1"/>
    <w:rsid w:val="00861256"/>
    <w:rsid w:val="00861BE0"/>
    <w:rsid w:val="00861ECB"/>
    <w:rsid w:val="008622AB"/>
    <w:rsid w:val="008635C6"/>
    <w:rsid w:val="0086399C"/>
    <w:rsid w:val="00863A94"/>
    <w:rsid w:val="00863B30"/>
    <w:rsid w:val="00864189"/>
    <w:rsid w:val="008646A3"/>
    <w:rsid w:val="00864C98"/>
    <w:rsid w:val="008654B3"/>
    <w:rsid w:val="00865A4C"/>
    <w:rsid w:val="00865AC9"/>
    <w:rsid w:val="00865D12"/>
    <w:rsid w:val="00865F6F"/>
    <w:rsid w:val="00866093"/>
    <w:rsid w:val="008673B8"/>
    <w:rsid w:val="00867612"/>
    <w:rsid w:val="0086781E"/>
    <w:rsid w:val="00867A7C"/>
    <w:rsid w:val="00867C9F"/>
    <w:rsid w:val="00870027"/>
    <w:rsid w:val="0087039A"/>
    <w:rsid w:val="00870690"/>
    <w:rsid w:val="00870835"/>
    <w:rsid w:val="00871540"/>
    <w:rsid w:val="00871B13"/>
    <w:rsid w:val="00871B71"/>
    <w:rsid w:val="008720AC"/>
    <w:rsid w:val="00872696"/>
    <w:rsid w:val="0087361D"/>
    <w:rsid w:val="00873BD4"/>
    <w:rsid w:val="00873C35"/>
    <w:rsid w:val="00873F91"/>
    <w:rsid w:val="008746A3"/>
    <w:rsid w:val="0087488B"/>
    <w:rsid w:val="00874C8F"/>
    <w:rsid w:val="008758A5"/>
    <w:rsid w:val="00875A91"/>
    <w:rsid w:val="008760BD"/>
    <w:rsid w:val="00876113"/>
    <w:rsid w:val="00876438"/>
    <w:rsid w:val="00876AD1"/>
    <w:rsid w:val="00877032"/>
    <w:rsid w:val="00877529"/>
    <w:rsid w:val="00877A45"/>
    <w:rsid w:val="00880436"/>
    <w:rsid w:val="008808FC"/>
    <w:rsid w:val="0088107A"/>
    <w:rsid w:val="008810C2"/>
    <w:rsid w:val="008810ED"/>
    <w:rsid w:val="008811B2"/>
    <w:rsid w:val="008816F5"/>
    <w:rsid w:val="00881A67"/>
    <w:rsid w:val="00881AF6"/>
    <w:rsid w:val="00881E01"/>
    <w:rsid w:val="00881E03"/>
    <w:rsid w:val="008823D8"/>
    <w:rsid w:val="00882ACC"/>
    <w:rsid w:val="00882E6C"/>
    <w:rsid w:val="008831F4"/>
    <w:rsid w:val="0088482F"/>
    <w:rsid w:val="0088542E"/>
    <w:rsid w:val="00885A20"/>
    <w:rsid w:val="00885A36"/>
    <w:rsid w:val="00885E8C"/>
    <w:rsid w:val="00885F43"/>
    <w:rsid w:val="00886069"/>
    <w:rsid w:val="00886304"/>
    <w:rsid w:val="00886649"/>
    <w:rsid w:val="008869B3"/>
    <w:rsid w:val="00886A90"/>
    <w:rsid w:val="00886F32"/>
    <w:rsid w:val="008870C0"/>
    <w:rsid w:val="0088725E"/>
    <w:rsid w:val="0088737A"/>
    <w:rsid w:val="00887431"/>
    <w:rsid w:val="00887B75"/>
    <w:rsid w:val="00887E5D"/>
    <w:rsid w:val="00890486"/>
    <w:rsid w:val="00890B4B"/>
    <w:rsid w:val="00891231"/>
    <w:rsid w:val="00891BAC"/>
    <w:rsid w:val="00892059"/>
    <w:rsid w:val="00892263"/>
    <w:rsid w:val="0089282D"/>
    <w:rsid w:val="00892FDC"/>
    <w:rsid w:val="00893710"/>
    <w:rsid w:val="00893F5D"/>
    <w:rsid w:val="00894409"/>
    <w:rsid w:val="008949DA"/>
    <w:rsid w:val="00895BB3"/>
    <w:rsid w:val="0089624D"/>
    <w:rsid w:val="00896C96"/>
    <w:rsid w:val="00897256"/>
    <w:rsid w:val="00897360"/>
    <w:rsid w:val="00897AD5"/>
    <w:rsid w:val="00897FF7"/>
    <w:rsid w:val="008A0CFE"/>
    <w:rsid w:val="008A11D7"/>
    <w:rsid w:val="008A17C6"/>
    <w:rsid w:val="008A22B2"/>
    <w:rsid w:val="008A2312"/>
    <w:rsid w:val="008A31F1"/>
    <w:rsid w:val="008A3961"/>
    <w:rsid w:val="008A3D6D"/>
    <w:rsid w:val="008A41E5"/>
    <w:rsid w:val="008A43AD"/>
    <w:rsid w:val="008A49BB"/>
    <w:rsid w:val="008A4E25"/>
    <w:rsid w:val="008A4F18"/>
    <w:rsid w:val="008A6B96"/>
    <w:rsid w:val="008A754A"/>
    <w:rsid w:val="008A7714"/>
    <w:rsid w:val="008A7A04"/>
    <w:rsid w:val="008B01DB"/>
    <w:rsid w:val="008B031F"/>
    <w:rsid w:val="008B046B"/>
    <w:rsid w:val="008B0647"/>
    <w:rsid w:val="008B0716"/>
    <w:rsid w:val="008B0824"/>
    <w:rsid w:val="008B0FCA"/>
    <w:rsid w:val="008B143F"/>
    <w:rsid w:val="008B17A3"/>
    <w:rsid w:val="008B1BC0"/>
    <w:rsid w:val="008B201C"/>
    <w:rsid w:val="008B2295"/>
    <w:rsid w:val="008B264A"/>
    <w:rsid w:val="008B27C1"/>
    <w:rsid w:val="008B2D82"/>
    <w:rsid w:val="008B3F4B"/>
    <w:rsid w:val="008B4943"/>
    <w:rsid w:val="008B4B44"/>
    <w:rsid w:val="008B4ED6"/>
    <w:rsid w:val="008B4FEB"/>
    <w:rsid w:val="008B52EE"/>
    <w:rsid w:val="008B56D6"/>
    <w:rsid w:val="008B607A"/>
    <w:rsid w:val="008B607B"/>
    <w:rsid w:val="008B74E7"/>
    <w:rsid w:val="008B7579"/>
    <w:rsid w:val="008B76CA"/>
    <w:rsid w:val="008C07B3"/>
    <w:rsid w:val="008C07B8"/>
    <w:rsid w:val="008C15F0"/>
    <w:rsid w:val="008C21C0"/>
    <w:rsid w:val="008C27AF"/>
    <w:rsid w:val="008C2819"/>
    <w:rsid w:val="008C2AA0"/>
    <w:rsid w:val="008C2CD6"/>
    <w:rsid w:val="008C3120"/>
    <w:rsid w:val="008C3642"/>
    <w:rsid w:val="008C396A"/>
    <w:rsid w:val="008C3B85"/>
    <w:rsid w:val="008C3C1D"/>
    <w:rsid w:val="008C3EBC"/>
    <w:rsid w:val="008C4036"/>
    <w:rsid w:val="008C4126"/>
    <w:rsid w:val="008C47D3"/>
    <w:rsid w:val="008C5470"/>
    <w:rsid w:val="008C5ECB"/>
    <w:rsid w:val="008C62DC"/>
    <w:rsid w:val="008C70B2"/>
    <w:rsid w:val="008C7CFC"/>
    <w:rsid w:val="008D04CC"/>
    <w:rsid w:val="008D0E00"/>
    <w:rsid w:val="008D17D8"/>
    <w:rsid w:val="008D19B9"/>
    <w:rsid w:val="008D1F7F"/>
    <w:rsid w:val="008D2250"/>
    <w:rsid w:val="008D2375"/>
    <w:rsid w:val="008D24DD"/>
    <w:rsid w:val="008D2A26"/>
    <w:rsid w:val="008D2C16"/>
    <w:rsid w:val="008D325E"/>
    <w:rsid w:val="008D39A1"/>
    <w:rsid w:val="008D3A1A"/>
    <w:rsid w:val="008D3A28"/>
    <w:rsid w:val="008D3A6B"/>
    <w:rsid w:val="008D3C36"/>
    <w:rsid w:val="008D3F48"/>
    <w:rsid w:val="008D3F7D"/>
    <w:rsid w:val="008D4727"/>
    <w:rsid w:val="008D4BC8"/>
    <w:rsid w:val="008D59D2"/>
    <w:rsid w:val="008D6555"/>
    <w:rsid w:val="008D6757"/>
    <w:rsid w:val="008D681D"/>
    <w:rsid w:val="008D6A69"/>
    <w:rsid w:val="008D7B74"/>
    <w:rsid w:val="008E034D"/>
    <w:rsid w:val="008E0CCA"/>
    <w:rsid w:val="008E0F83"/>
    <w:rsid w:val="008E18AF"/>
    <w:rsid w:val="008E1BC5"/>
    <w:rsid w:val="008E1F8A"/>
    <w:rsid w:val="008E26FE"/>
    <w:rsid w:val="008E2746"/>
    <w:rsid w:val="008E2B82"/>
    <w:rsid w:val="008E2DFE"/>
    <w:rsid w:val="008E2E11"/>
    <w:rsid w:val="008E2EBA"/>
    <w:rsid w:val="008E3126"/>
    <w:rsid w:val="008E392B"/>
    <w:rsid w:val="008E3A9A"/>
    <w:rsid w:val="008E448B"/>
    <w:rsid w:val="008E4B1C"/>
    <w:rsid w:val="008E53DB"/>
    <w:rsid w:val="008E5B12"/>
    <w:rsid w:val="008E62DD"/>
    <w:rsid w:val="008E6302"/>
    <w:rsid w:val="008E675D"/>
    <w:rsid w:val="008E6876"/>
    <w:rsid w:val="008E6D28"/>
    <w:rsid w:val="008E707E"/>
    <w:rsid w:val="008E7C04"/>
    <w:rsid w:val="008F0225"/>
    <w:rsid w:val="008F06FF"/>
    <w:rsid w:val="008F0D2C"/>
    <w:rsid w:val="008F1693"/>
    <w:rsid w:val="008F1871"/>
    <w:rsid w:val="008F26F4"/>
    <w:rsid w:val="008F2B1E"/>
    <w:rsid w:val="008F2D44"/>
    <w:rsid w:val="008F32F9"/>
    <w:rsid w:val="008F3729"/>
    <w:rsid w:val="008F3A43"/>
    <w:rsid w:val="008F3CA8"/>
    <w:rsid w:val="008F4033"/>
    <w:rsid w:val="008F462A"/>
    <w:rsid w:val="008F46D0"/>
    <w:rsid w:val="008F4E67"/>
    <w:rsid w:val="008F59E5"/>
    <w:rsid w:val="008F5BA8"/>
    <w:rsid w:val="008F6BFC"/>
    <w:rsid w:val="008F75DC"/>
    <w:rsid w:val="00900276"/>
    <w:rsid w:val="00900479"/>
    <w:rsid w:val="009004D3"/>
    <w:rsid w:val="00900566"/>
    <w:rsid w:val="009009EF"/>
    <w:rsid w:val="00900CE0"/>
    <w:rsid w:val="00900E42"/>
    <w:rsid w:val="00901234"/>
    <w:rsid w:val="0090134D"/>
    <w:rsid w:val="00901AAB"/>
    <w:rsid w:val="00901AF5"/>
    <w:rsid w:val="00901E27"/>
    <w:rsid w:val="00901EC6"/>
    <w:rsid w:val="00901FF4"/>
    <w:rsid w:val="0090210B"/>
    <w:rsid w:val="00902322"/>
    <w:rsid w:val="00902347"/>
    <w:rsid w:val="0090291B"/>
    <w:rsid w:val="00902B04"/>
    <w:rsid w:val="009030AD"/>
    <w:rsid w:val="009030EC"/>
    <w:rsid w:val="0090347A"/>
    <w:rsid w:val="0090364E"/>
    <w:rsid w:val="009037C6"/>
    <w:rsid w:val="00903D01"/>
    <w:rsid w:val="00904875"/>
    <w:rsid w:val="00904A18"/>
    <w:rsid w:val="00904E04"/>
    <w:rsid w:val="00905E36"/>
    <w:rsid w:val="009064CC"/>
    <w:rsid w:val="00906681"/>
    <w:rsid w:val="009066F2"/>
    <w:rsid w:val="00906EB6"/>
    <w:rsid w:val="0090751C"/>
    <w:rsid w:val="00907563"/>
    <w:rsid w:val="0090774E"/>
    <w:rsid w:val="009079C1"/>
    <w:rsid w:val="00907B66"/>
    <w:rsid w:val="00907F9C"/>
    <w:rsid w:val="0091033E"/>
    <w:rsid w:val="00910A5D"/>
    <w:rsid w:val="009114C0"/>
    <w:rsid w:val="00911727"/>
    <w:rsid w:val="009119B2"/>
    <w:rsid w:val="00911CFA"/>
    <w:rsid w:val="00911E2C"/>
    <w:rsid w:val="009122B9"/>
    <w:rsid w:val="00912352"/>
    <w:rsid w:val="00912656"/>
    <w:rsid w:val="009129A7"/>
    <w:rsid w:val="00912D7B"/>
    <w:rsid w:val="009141B2"/>
    <w:rsid w:val="00914798"/>
    <w:rsid w:val="009149B2"/>
    <w:rsid w:val="00914BC3"/>
    <w:rsid w:val="00914E4F"/>
    <w:rsid w:val="00914F3E"/>
    <w:rsid w:val="009150C7"/>
    <w:rsid w:val="00915453"/>
    <w:rsid w:val="00916F3A"/>
    <w:rsid w:val="00917563"/>
    <w:rsid w:val="00917677"/>
    <w:rsid w:val="00917E45"/>
    <w:rsid w:val="009209C2"/>
    <w:rsid w:val="00920B25"/>
    <w:rsid w:val="00920CBC"/>
    <w:rsid w:val="00920FAB"/>
    <w:rsid w:val="00921339"/>
    <w:rsid w:val="0092163D"/>
    <w:rsid w:val="00921C0A"/>
    <w:rsid w:val="00921EA9"/>
    <w:rsid w:val="00922844"/>
    <w:rsid w:val="009232B4"/>
    <w:rsid w:val="00923DCC"/>
    <w:rsid w:val="00924259"/>
    <w:rsid w:val="009244F4"/>
    <w:rsid w:val="009250F2"/>
    <w:rsid w:val="009256BD"/>
    <w:rsid w:val="0092588D"/>
    <w:rsid w:val="00925BF7"/>
    <w:rsid w:val="009265EA"/>
    <w:rsid w:val="009270E7"/>
    <w:rsid w:val="00927169"/>
    <w:rsid w:val="009271A7"/>
    <w:rsid w:val="00927251"/>
    <w:rsid w:val="009272B3"/>
    <w:rsid w:val="009272C8"/>
    <w:rsid w:val="0092760E"/>
    <w:rsid w:val="0092786A"/>
    <w:rsid w:val="00927B70"/>
    <w:rsid w:val="00927CD3"/>
    <w:rsid w:val="00927D07"/>
    <w:rsid w:val="0093049E"/>
    <w:rsid w:val="00930AA5"/>
    <w:rsid w:val="00930D6A"/>
    <w:rsid w:val="00931005"/>
    <w:rsid w:val="0093125D"/>
    <w:rsid w:val="0093142F"/>
    <w:rsid w:val="009314B5"/>
    <w:rsid w:val="009314FF"/>
    <w:rsid w:val="009315B7"/>
    <w:rsid w:val="00931754"/>
    <w:rsid w:val="00932018"/>
    <w:rsid w:val="00932776"/>
    <w:rsid w:val="00932B7A"/>
    <w:rsid w:val="00932E96"/>
    <w:rsid w:val="00933A46"/>
    <w:rsid w:val="00933B42"/>
    <w:rsid w:val="009340E7"/>
    <w:rsid w:val="009344AE"/>
    <w:rsid w:val="0093494D"/>
    <w:rsid w:val="009357D4"/>
    <w:rsid w:val="009357E9"/>
    <w:rsid w:val="009357F3"/>
    <w:rsid w:val="0093609E"/>
    <w:rsid w:val="00936DCB"/>
    <w:rsid w:val="009371C8"/>
    <w:rsid w:val="00937DF0"/>
    <w:rsid w:val="0094026F"/>
    <w:rsid w:val="009407E5"/>
    <w:rsid w:val="00940825"/>
    <w:rsid w:val="0094084E"/>
    <w:rsid w:val="009409E2"/>
    <w:rsid w:val="00940D08"/>
    <w:rsid w:val="0094131C"/>
    <w:rsid w:val="009413A9"/>
    <w:rsid w:val="0094204D"/>
    <w:rsid w:val="00942A04"/>
    <w:rsid w:val="00943BD1"/>
    <w:rsid w:val="00944063"/>
    <w:rsid w:val="009443B3"/>
    <w:rsid w:val="009444A8"/>
    <w:rsid w:val="009455B2"/>
    <w:rsid w:val="00945BFA"/>
    <w:rsid w:val="00945C06"/>
    <w:rsid w:val="00945CD0"/>
    <w:rsid w:val="00946035"/>
    <w:rsid w:val="00946427"/>
    <w:rsid w:val="00946A9C"/>
    <w:rsid w:val="0094735B"/>
    <w:rsid w:val="009474BE"/>
    <w:rsid w:val="0094771B"/>
    <w:rsid w:val="00947FA7"/>
    <w:rsid w:val="009503CF"/>
    <w:rsid w:val="00950743"/>
    <w:rsid w:val="00950A26"/>
    <w:rsid w:val="009513E2"/>
    <w:rsid w:val="00952563"/>
    <w:rsid w:val="0095262D"/>
    <w:rsid w:val="00952883"/>
    <w:rsid w:val="00952DB6"/>
    <w:rsid w:val="00953394"/>
    <w:rsid w:val="00953F09"/>
    <w:rsid w:val="0095491B"/>
    <w:rsid w:val="00954927"/>
    <w:rsid w:val="00955271"/>
    <w:rsid w:val="00955763"/>
    <w:rsid w:val="00955B92"/>
    <w:rsid w:val="00955CE0"/>
    <w:rsid w:val="00956570"/>
    <w:rsid w:val="009566CA"/>
    <w:rsid w:val="00957B79"/>
    <w:rsid w:val="00957C59"/>
    <w:rsid w:val="00957D00"/>
    <w:rsid w:val="00957D61"/>
    <w:rsid w:val="0096007D"/>
    <w:rsid w:val="009603C2"/>
    <w:rsid w:val="009603E4"/>
    <w:rsid w:val="00960E68"/>
    <w:rsid w:val="00960F79"/>
    <w:rsid w:val="00961054"/>
    <w:rsid w:val="00961142"/>
    <w:rsid w:val="009613AB"/>
    <w:rsid w:val="0096154B"/>
    <w:rsid w:val="00961664"/>
    <w:rsid w:val="0096184B"/>
    <w:rsid w:val="00961865"/>
    <w:rsid w:val="009619A4"/>
    <w:rsid w:val="009619D9"/>
    <w:rsid w:val="00961AE2"/>
    <w:rsid w:val="00962671"/>
    <w:rsid w:val="0096272D"/>
    <w:rsid w:val="009637FE"/>
    <w:rsid w:val="00963D00"/>
    <w:rsid w:val="00963F35"/>
    <w:rsid w:val="00964192"/>
    <w:rsid w:val="009649A2"/>
    <w:rsid w:val="0096519C"/>
    <w:rsid w:val="009655A5"/>
    <w:rsid w:val="00965E87"/>
    <w:rsid w:val="009668B3"/>
    <w:rsid w:val="00966B48"/>
    <w:rsid w:val="00966E6C"/>
    <w:rsid w:val="009676FF"/>
    <w:rsid w:val="00967B68"/>
    <w:rsid w:val="00967DE0"/>
    <w:rsid w:val="00967E64"/>
    <w:rsid w:val="0097101F"/>
    <w:rsid w:val="009717A8"/>
    <w:rsid w:val="0097181C"/>
    <w:rsid w:val="00972483"/>
    <w:rsid w:val="00972822"/>
    <w:rsid w:val="00972C8A"/>
    <w:rsid w:val="009731D6"/>
    <w:rsid w:val="00973791"/>
    <w:rsid w:val="00974200"/>
    <w:rsid w:val="00974731"/>
    <w:rsid w:val="00974B8E"/>
    <w:rsid w:val="00974C72"/>
    <w:rsid w:val="00974C9C"/>
    <w:rsid w:val="009752D0"/>
    <w:rsid w:val="00975583"/>
    <w:rsid w:val="009758C4"/>
    <w:rsid w:val="00976583"/>
    <w:rsid w:val="00976EFC"/>
    <w:rsid w:val="00977493"/>
    <w:rsid w:val="00977AFB"/>
    <w:rsid w:val="009804AE"/>
    <w:rsid w:val="0098118E"/>
    <w:rsid w:val="009812F6"/>
    <w:rsid w:val="009817B9"/>
    <w:rsid w:val="00981A58"/>
    <w:rsid w:val="00981B74"/>
    <w:rsid w:val="00981BB3"/>
    <w:rsid w:val="0098254D"/>
    <w:rsid w:val="009826D9"/>
    <w:rsid w:val="00982F27"/>
    <w:rsid w:val="00983830"/>
    <w:rsid w:val="00983989"/>
    <w:rsid w:val="00983A21"/>
    <w:rsid w:val="00983D5C"/>
    <w:rsid w:val="00983DFF"/>
    <w:rsid w:val="00984199"/>
    <w:rsid w:val="009846E0"/>
    <w:rsid w:val="00984939"/>
    <w:rsid w:val="00984D37"/>
    <w:rsid w:val="00984DA3"/>
    <w:rsid w:val="00984F2A"/>
    <w:rsid w:val="009850F1"/>
    <w:rsid w:val="00985AF6"/>
    <w:rsid w:val="00985DBC"/>
    <w:rsid w:val="0098618B"/>
    <w:rsid w:val="00987812"/>
    <w:rsid w:val="0098796E"/>
    <w:rsid w:val="00987B57"/>
    <w:rsid w:val="00991538"/>
    <w:rsid w:val="00991861"/>
    <w:rsid w:val="00991A99"/>
    <w:rsid w:val="00991F5C"/>
    <w:rsid w:val="0099239A"/>
    <w:rsid w:val="009924C4"/>
    <w:rsid w:val="00992688"/>
    <w:rsid w:val="00994BDC"/>
    <w:rsid w:val="00994C6C"/>
    <w:rsid w:val="00994CE1"/>
    <w:rsid w:val="009950E4"/>
    <w:rsid w:val="009956EE"/>
    <w:rsid w:val="00995C89"/>
    <w:rsid w:val="0099687F"/>
    <w:rsid w:val="009970DF"/>
    <w:rsid w:val="00997606"/>
    <w:rsid w:val="00997690"/>
    <w:rsid w:val="0099773D"/>
    <w:rsid w:val="00997FB5"/>
    <w:rsid w:val="009A001C"/>
    <w:rsid w:val="009A0427"/>
    <w:rsid w:val="009A0BCB"/>
    <w:rsid w:val="009A13E2"/>
    <w:rsid w:val="009A16CC"/>
    <w:rsid w:val="009A1C73"/>
    <w:rsid w:val="009A1DC3"/>
    <w:rsid w:val="009A1F1E"/>
    <w:rsid w:val="009A1FF2"/>
    <w:rsid w:val="009A2308"/>
    <w:rsid w:val="009A2656"/>
    <w:rsid w:val="009A2841"/>
    <w:rsid w:val="009A3585"/>
    <w:rsid w:val="009A3595"/>
    <w:rsid w:val="009A35B0"/>
    <w:rsid w:val="009A389F"/>
    <w:rsid w:val="009A461C"/>
    <w:rsid w:val="009A4A47"/>
    <w:rsid w:val="009A4DAE"/>
    <w:rsid w:val="009A5760"/>
    <w:rsid w:val="009A627C"/>
    <w:rsid w:val="009A6BA5"/>
    <w:rsid w:val="009A6C6B"/>
    <w:rsid w:val="009A702B"/>
    <w:rsid w:val="009A75BB"/>
    <w:rsid w:val="009A7617"/>
    <w:rsid w:val="009A7A82"/>
    <w:rsid w:val="009A7AA4"/>
    <w:rsid w:val="009B0218"/>
    <w:rsid w:val="009B046D"/>
    <w:rsid w:val="009B0A03"/>
    <w:rsid w:val="009B0C01"/>
    <w:rsid w:val="009B0C96"/>
    <w:rsid w:val="009B124F"/>
    <w:rsid w:val="009B2139"/>
    <w:rsid w:val="009B221A"/>
    <w:rsid w:val="009B27CC"/>
    <w:rsid w:val="009B2B39"/>
    <w:rsid w:val="009B2E57"/>
    <w:rsid w:val="009B2ED5"/>
    <w:rsid w:val="009B3771"/>
    <w:rsid w:val="009B3BC9"/>
    <w:rsid w:val="009B3E94"/>
    <w:rsid w:val="009B480A"/>
    <w:rsid w:val="009B575B"/>
    <w:rsid w:val="009B5A30"/>
    <w:rsid w:val="009B62C4"/>
    <w:rsid w:val="009B663C"/>
    <w:rsid w:val="009B66B1"/>
    <w:rsid w:val="009B68C7"/>
    <w:rsid w:val="009B6F41"/>
    <w:rsid w:val="009B7092"/>
    <w:rsid w:val="009B7ACB"/>
    <w:rsid w:val="009B7E2B"/>
    <w:rsid w:val="009C0316"/>
    <w:rsid w:val="009C087B"/>
    <w:rsid w:val="009C0950"/>
    <w:rsid w:val="009C0AAE"/>
    <w:rsid w:val="009C0BFA"/>
    <w:rsid w:val="009C14CC"/>
    <w:rsid w:val="009C16C5"/>
    <w:rsid w:val="009C1DCB"/>
    <w:rsid w:val="009C20A3"/>
    <w:rsid w:val="009C29E3"/>
    <w:rsid w:val="009C2E06"/>
    <w:rsid w:val="009C4637"/>
    <w:rsid w:val="009C4737"/>
    <w:rsid w:val="009C486B"/>
    <w:rsid w:val="009C55B0"/>
    <w:rsid w:val="009C5A2A"/>
    <w:rsid w:val="009C5BB2"/>
    <w:rsid w:val="009C6064"/>
    <w:rsid w:val="009C64DC"/>
    <w:rsid w:val="009C6D93"/>
    <w:rsid w:val="009C7347"/>
    <w:rsid w:val="009C77B6"/>
    <w:rsid w:val="009D0474"/>
    <w:rsid w:val="009D0847"/>
    <w:rsid w:val="009D0D19"/>
    <w:rsid w:val="009D1751"/>
    <w:rsid w:val="009D1772"/>
    <w:rsid w:val="009D188C"/>
    <w:rsid w:val="009D24E0"/>
    <w:rsid w:val="009D2C10"/>
    <w:rsid w:val="009D3269"/>
    <w:rsid w:val="009D34E8"/>
    <w:rsid w:val="009D372E"/>
    <w:rsid w:val="009D3D96"/>
    <w:rsid w:val="009D4AA7"/>
    <w:rsid w:val="009D4CAD"/>
    <w:rsid w:val="009D4D65"/>
    <w:rsid w:val="009D5B29"/>
    <w:rsid w:val="009D6B45"/>
    <w:rsid w:val="009D6DCB"/>
    <w:rsid w:val="009D7B89"/>
    <w:rsid w:val="009E0B21"/>
    <w:rsid w:val="009E102E"/>
    <w:rsid w:val="009E1D2E"/>
    <w:rsid w:val="009E20CF"/>
    <w:rsid w:val="009E23FC"/>
    <w:rsid w:val="009E3F43"/>
    <w:rsid w:val="009E5858"/>
    <w:rsid w:val="009E58A8"/>
    <w:rsid w:val="009E5BB8"/>
    <w:rsid w:val="009E5BC1"/>
    <w:rsid w:val="009E696C"/>
    <w:rsid w:val="009E6A62"/>
    <w:rsid w:val="009E6FFD"/>
    <w:rsid w:val="009F0093"/>
    <w:rsid w:val="009F0233"/>
    <w:rsid w:val="009F060C"/>
    <w:rsid w:val="009F0E6C"/>
    <w:rsid w:val="009F0F3D"/>
    <w:rsid w:val="009F1009"/>
    <w:rsid w:val="009F1E82"/>
    <w:rsid w:val="009F1F24"/>
    <w:rsid w:val="009F1FBB"/>
    <w:rsid w:val="009F2328"/>
    <w:rsid w:val="009F2E1B"/>
    <w:rsid w:val="009F30A4"/>
    <w:rsid w:val="009F3358"/>
    <w:rsid w:val="009F376F"/>
    <w:rsid w:val="009F3B02"/>
    <w:rsid w:val="009F3FDA"/>
    <w:rsid w:val="009F47C4"/>
    <w:rsid w:val="009F4FC7"/>
    <w:rsid w:val="009F505B"/>
    <w:rsid w:val="009F5195"/>
    <w:rsid w:val="009F52BE"/>
    <w:rsid w:val="009F59B4"/>
    <w:rsid w:val="009F5B4D"/>
    <w:rsid w:val="009F5BE2"/>
    <w:rsid w:val="009F5DD8"/>
    <w:rsid w:val="009F740D"/>
    <w:rsid w:val="009F7459"/>
    <w:rsid w:val="00A0071C"/>
    <w:rsid w:val="00A0075C"/>
    <w:rsid w:val="00A01035"/>
    <w:rsid w:val="00A012D1"/>
    <w:rsid w:val="00A013F4"/>
    <w:rsid w:val="00A01A3E"/>
    <w:rsid w:val="00A01BB0"/>
    <w:rsid w:val="00A01DC4"/>
    <w:rsid w:val="00A02454"/>
    <w:rsid w:val="00A02891"/>
    <w:rsid w:val="00A02958"/>
    <w:rsid w:val="00A02A4A"/>
    <w:rsid w:val="00A02B59"/>
    <w:rsid w:val="00A0338D"/>
    <w:rsid w:val="00A03551"/>
    <w:rsid w:val="00A03933"/>
    <w:rsid w:val="00A03DA1"/>
    <w:rsid w:val="00A0401A"/>
    <w:rsid w:val="00A04763"/>
    <w:rsid w:val="00A0548D"/>
    <w:rsid w:val="00A06052"/>
    <w:rsid w:val="00A067D0"/>
    <w:rsid w:val="00A06A4D"/>
    <w:rsid w:val="00A0703E"/>
    <w:rsid w:val="00A071A6"/>
    <w:rsid w:val="00A076A7"/>
    <w:rsid w:val="00A076CE"/>
    <w:rsid w:val="00A0784B"/>
    <w:rsid w:val="00A07F18"/>
    <w:rsid w:val="00A10180"/>
    <w:rsid w:val="00A10A84"/>
    <w:rsid w:val="00A10AAC"/>
    <w:rsid w:val="00A11076"/>
    <w:rsid w:val="00A111B0"/>
    <w:rsid w:val="00A111EC"/>
    <w:rsid w:val="00A115D0"/>
    <w:rsid w:val="00A11B39"/>
    <w:rsid w:val="00A11E5D"/>
    <w:rsid w:val="00A12213"/>
    <w:rsid w:val="00A127F3"/>
    <w:rsid w:val="00A12C32"/>
    <w:rsid w:val="00A12D51"/>
    <w:rsid w:val="00A13581"/>
    <w:rsid w:val="00A139CD"/>
    <w:rsid w:val="00A143E5"/>
    <w:rsid w:val="00A14D9F"/>
    <w:rsid w:val="00A158C8"/>
    <w:rsid w:val="00A159DE"/>
    <w:rsid w:val="00A15B09"/>
    <w:rsid w:val="00A165AA"/>
    <w:rsid w:val="00A16776"/>
    <w:rsid w:val="00A17375"/>
    <w:rsid w:val="00A176CD"/>
    <w:rsid w:val="00A17716"/>
    <w:rsid w:val="00A17A52"/>
    <w:rsid w:val="00A17AE3"/>
    <w:rsid w:val="00A17F25"/>
    <w:rsid w:val="00A2113F"/>
    <w:rsid w:val="00A21165"/>
    <w:rsid w:val="00A21257"/>
    <w:rsid w:val="00A21B3C"/>
    <w:rsid w:val="00A220E4"/>
    <w:rsid w:val="00A22887"/>
    <w:rsid w:val="00A2290E"/>
    <w:rsid w:val="00A22A05"/>
    <w:rsid w:val="00A23274"/>
    <w:rsid w:val="00A2338E"/>
    <w:rsid w:val="00A2349A"/>
    <w:rsid w:val="00A23D33"/>
    <w:rsid w:val="00A23D49"/>
    <w:rsid w:val="00A24006"/>
    <w:rsid w:val="00A24C6E"/>
    <w:rsid w:val="00A24D47"/>
    <w:rsid w:val="00A24E3B"/>
    <w:rsid w:val="00A2579C"/>
    <w:rsid w:val="00A25ABE"/>
    <w:rsid w:val="00A2602D"/>
    <w:rsid w:val="00A26240"/>
    <w:rsid w:val="00A2659F"/>
    <w:rsid w:val="00A26A23"/>
    <w:rsid w:val="00A26A9C"/>
    <w:rsid w:val="00A274CD"/>
    <w:rsid w:val="00A27E3A"/>
    <w:rsid w:val="00A27F86"/>
    <w:rsid w:val="00A304A5"/>
    <w:rsid w:val="00A30936"/>
    <w:rsid w:val="00A3120A"/>
    <w:rsid w:val="00A312DB"/>
    <w:rsid w:val="00A3147C"/>
    <w:rsid w:val="00A314D5"/>
    <w:rsid w:val="00A3181D"/>
    <w:rsid w:val="00A31E6A"/>
    <w:rsid w:val="00A33217"/>
    <w:rsid w:val="00A33E3A"/>
    <w:rsid w:val="00A33E54"/>
    <w:rsid w:val="00A33F9C"/>
    <w:rsid w:val="00A343E6"/>
    <w:rsid w:val="00A34ACF"/>
    <w:rsid w:val="00A34E4A"/>
    <w:rsid w:val="00A355A7"/>
    <w:rsid w:val="00A3595C"/>
    <w:rsid w:val="00A363EE"/>
    <w:rsid w:val="00A37048"/>
    <w:rsid w:val="00A370F3"/>
    <w:rsid w:val="00A40357"/>
    <w:rsid w:val="00A4042B"/>
    <w:rsid w:val="00A410C5"/>
    <w:rsid w:val="00A410EC"/>
    <w:rsid w:val="00A41131"/>
    <w:rsid w:val="00A412FE"/>
    <w:rsid w:val="00A414F3"/>
    <w:rsid w:val="00A41B38"/>
    <w:rsid w:val="00A41D5E"/>
    <w:rsid w:val="00A41FC4"/>
    <w:rsid w:val="00A42148"/>
    <w:rsid w:val="00A425CE"/>
    <w:rsid w:val="00A425E5"/>
    <w:rsid w:val="00A43482"/>
    <w:rsid w:val="00A436DD"/>
    <w:rsid w:val="00A43943"/>
    <w:rsid w:val="00A44AD6"/>
    <w:rsid w:val="00A45F7C"/>
    <w:rsid w:val="00A45FA3"/>
    <w:rsid w:val="00A474D4"/>
    <w:rsid w:val="00A479A4"/>
    <w:rsid w:val="00A47EBC"/>
    <w:rsid w:val="00A5076D"/>
    <w:rsid w:val="00A51039"/>
    <w:rsid w:val="00A51D1B"/>
    <w:rsid w:val="00A52364"/>
    <w:rsid w:val="00A52A79"/>
    <w:rsid w:val="00A5323A"/>
    <w:rsid w:val="00A53976"/>
    <w:rsid w:val="00A53AF0"/>
    <w:rsid w:val="00A53BD0"/>
    <w:rsid w:val="00A53EBF"/>
    <w:rsid w:val="00A5446D"/>
    <w:rsid w:val="00A54718"/>
    <w:rsid w:val="00A54786"/>
    <w:rsid w:val="00A54F44"/>
    <w:rsid w:val="00A54FE2"/>
    <w:rsid w:val="00A54FEE"/>
    <w:rsid w:val="00A54FF1"/>
    <w:rsid w:val="00A550A5"/>
    <w:rsid w:val="00A55132"/>
    <w:rsid w:val="00A56156"/>
    <w:rsid w:val="00A564CD"/>
    <w:rsid w:val="00A56F24"/>
    <w:rsid w:val="00A57322"/>
    <w:rsid w:val="00A575D5"/>
    <w:rsid w:val="00A57839"/>
    <w:rsid w:val="00A57E28"/>
    <w:rsid w:val="00A60185"/>
    <w:rsid w:val="00A603EB"/>
    <w:rsid w:val="00A6042A"/>
    <w:rsid w:val="00A60A77"/>
    <w:rsid w:val="00A616A1"/>
    <w:rsid w:val="00A619E2"/>
    <w:rsid w:val="00A61C9B"/>
    <w:rsid w:val="00A62228"/>
    <w:rsid w:val="00A623B0"/>
    <w:rsid w:val="00A62535"/>
    <w:rsid w:val="00A629CA"/>
    <w:rsid w:val="00A62D2E"/>
    <w:rsid w:val="00A63794"/>
    <w:rsid w:val="00A63A18"/>
    <w:rsid w:val="00A640F6"/>
    <w:rsid w:val="00A64506"/>
    <w:rsid w:val="00A647B7"/>
    <w:rsid w:val="00A6511B"/>
    <w:rsid w:val="00A65923"/>
    <w:rsid w:val="00A66314"/>
    <w:rsid w:val="00A700F8"/>
    <w:rsid w:val="00A701C8"/>
    <w:rsid w:val="00A701DE"/>
    <w:rsid w:val="00A70256"/>
    <w:rsid w:val="00A70876"/>
    <w:rsid w:val="00A709D6"/>
    <w:rsid w:val="00A70A07"/>
    <w:rsid w:val="00A70CCA"/>
    <w:rsid w:val="00A71629"/>
    <w:rsid w:val="00A719E7"/>
    <w:rsid w:val="00A71A80"/>
    <w:rsid w:val="00A7244B"/>
    <w:rsid w:val="00A72861"/>
    <w:rsid w:val="00A72FBB"/>
    <w:rsid w:val="00A7309E"/>
    <w:rsid w:val="00A73427"/>
    <w:rsid w:val="00A73D69"/>
    <w:rsid w:val="00A75A27"/>
    <w:rsid w:val="00A760C0"/>
    <w:rsid w:val="00A762E1"/>
    <w:rsid w:val="00A76A8A"/>
    <w:rsid w:val="00A76EC9"/>
    <w:rsid w:val="00A772F3"/>
    <w:rsid w:val="00A776DB"/>
    <w:rsid w:val="00A77B49"/>
    <w:rsid w:val="00A8025C"/>
    <w:rsid w:val="00A80C9F"/>
    <w:rsid w:val="00A8109F"/>
    <w:rsid w:val="00A81203"/>
    <w:rsid w:val="00A813CA"/>
    <w:rsid w:val="00A818D3"/>
    <w:rsid w:val="00A81F67"/>
    <w:rsid w:val="00A822FB"/>
    <w:rsid w:val="00A82394"/>
    <w:rsid w:val="00A8308B"/>
    <w:rsid w:val="00A84980"/>
    <w:rsid w:val="00A84D63"/>
    <w:rsid w:val="00A85292"/>
    <w:rsid w:val="00A85B48"/>
    <w:rsid w:val="00A85F66"/>
    <w:rsid w:val="00A8603A"/>
    <w:rsid w:val="00A862FF"/>
    <w:rsid w:val="00A867F0"/>
    <w:rsid w:val="00A8741B"/>
    <w:rsid w:val="00A879FA"/>
    <w:rsid w:val="00A87AEA"/>
    <w:rsid w:val="00A90012"/>
    <w:rsid w:val="00A90323"/>
    <w:rsid w:val="00A9074A"/>
    <w:rsid w:val="00A90E47"/>
    <w:rsid w:val="00A913C1"/>
    <w:rsid w:val="00A9142C"/>
    <w:rsid w:val="00A91514"/>
    <w:rsid w:val="00A9285F"/>
    <w:rsid w:val="00A93588"/>
    <w:rsid w:val="00A93635"/>
    <w:rsid w:val="00A9383C"/>
    <w:rsid w:val="00A938F1"/>
    <w:rsid w:val="00A93AE9"/>
    <w:rsid w:val="00A953CE"/>
    <w:rsid w:val="00A957D5"/>
    <w:rsid w:val="00A95915"/>
    <w:rsid w:val="00A95B88"/>
    <w:rsid w:val="00A95E9A"/>
    <w:rsid w:val="00A96C32"/>
    <w:rsid w:val="00A97314"/>
    <w:rsid w:val="00A9766B"/>
    <w:rsid w:val="00A97EDA"/>
    <w:rsid w:val="00A97F36"/>
    <w:rsid w:val="00AA0508"/>
    <w:rsid w:val="00AA0A16"/>
    <w:rsid w:val="00AA106C"/>
    <w:rsid w:val="00AA139B"/>
    <w:rsid w:val="00AA1735"/>
    <w:rsid w:val="00AA1FB5"/>
    <w:rsid w:val="00AA280C"/>
    <w:rsid w:val="00AA348A"/>
    <w:rsid w:val="00AA3C56"/>
    <w:rsid w:val="00AA4F8C"/>
    <w:rsid w:val="00AA52B1"/>
    <w:rsid w:val="00AA539B"/>
    <w:rsid w:val="00AA58C3"/>
    <w:rsid w:val="00AA64AD"/>
    <w:rsid w:val="00AA65A3"/>
    <w:rsid w:val="00AA6632"/>
    <w:rsid w:val="00AA6825"/>
    <w:rsid w:val="00AA6960"/>
    <w:rsid w:val="00AA6A1C"/>
    <w:rsid w:val="00AA7282"/>
    <w:rsid w:val="00AA737B"/>
    <w:rsid w:val="00AA75D6"/>
    <w:rsid w:val="00AA7726"/>
    <w:rsid w:val="00AA77AF"/>
    <w:rsid w:val="00AA791D"/>
    <w:rsid w:val="00AA7B90"/>
    <w:rsid w:val="00AA7D90"/>
    <w:rsid w:val="00AA7FAB"/>
    <w:rsid w:val="00AB01A9"/>
    <w:rsid w:val="00AB092A"/>
    <w:rsid w:val="00AB1286"/>
    <w:rsid w:val="00AB194F"/>
    <w:rsid w:val="00AB2066"/>
    <w:rsid w:val="00AB312E"/>
    <w:rsid w:val="00AB3A62"/>
    <w:rsid w:val="00AB3EA1"/>
    <w:rsid w:val="00AB4A74"/>
    <w:rsid w:val="00AB5452"/>
    <w:rsid w:val="00AB69B4"/>
    <w:rsid w:val="00AB7566"/>
    <w:rsid w:val="00AB7731"/>
    <w:rsid w:val="00AB7A36"/>
    <w:rsid w:val="00AB7C09"/>
    <w:rsid w:val="00AB7FBE"/>
    <w:rsid w:val="00AC03A1"/>
    <w:rsid w:val="00AC091C"/>
    <w:rsid w:val="00AC0E2D"/>
    <w:rsid w:val="00AC0FA2"/>
    <w:rsid w:val="00AC1EBF"/>
    <w:rsid w:val="00AC22B0"/>
    <w:rsid w:val="00AC296B"/>
    <w:rsid w:val="00AC2DCC"/>
    <w:rsid w:val="00AC2E91"/>
    <w:rsid w:val="00AC394F"/>
    <w:rsid w:val="00AC3E05"/>
    <w:rsid w:val="00AC4F06"/>
    <w:rsid w:val="00AC51F4"/>
    <w:rsid w:val="00AC69C2"/>
    <w:rsid w:val="00AC6B50"/>
    <w:rsid w:val="00AC6B63"/>
    <w:rsid w:val="00AC6BD4"/>
    <w:rsid w:val="00AC6DBF"/>
    <w:rsid w:val="00AC72D6"/>
    <w:rsid w:val="00AC770C"/>
    <w:rsid w:val="00AC7941"/>
    <w:rsid w:val="00AC7B4A"/>
    <w:rsid w:val="00AC7B8A"/>
    <w:rsid w:val="00AC7D8D"/>
    <w:rsid w:val="00AD020D"/>
    <w:rsid w:val="00AD0281"/>
    <w:rsid w:val="00AD1034"/>
    <w:rsid w:val="00AD138C"/>
    <w:rsid w:val="00AD1837"/>
    <w:rsid w:val="00AD21F1"/>
    <w:rsid w:val="00AD289A"/>
    <w:rsid w:val="00AD2B12"/>
    <w:rsid w:val="00AD3081"/>
    <w:rsid w:val="00AD36E1"/>
    <w:rsid w:val="00AD37EA"/>
    <w:rsid w:val="00AD3924"/>
    <w:rsid w:val="00AD3BB3"/>
    <w:rsid w:val="00AD3F78"/>
    <w:rsid w:val="00AD3FAA"/>
    <w:rsid w:val="00AD40F5"/>
    <w:rsid w:val="00AD413B"/>
    <w:rsid w:val="00AD4803"/>
    <w:rsid w:val="00AD4D27"/>
    <w:rsid w:val="00AD52EB"/>
    <w:rsid w:val="00AD53EE"/>
    <w:rsid w:val="00AD573F"/>
    <w:rsid w:val="00AD5787"/>
    <w:rsid w:val="00AD57E2"/>
    <w:rsid w:val="00AD6581"/>
    <w:rsid w:val="00AD65F7"/>
    <w:rsid w:val="00AD67A5"/>
    <w:rsid w:val="00AD6AE5"/>
    <w:rsid w:val="00AD7450"/>
    <w:rsid w:val="00AD74B7"/>
    <w:rsid w:val="00AD7586"/>
    <w:rsid w:val="00AD77E9"/>
    <w:rsid w:val="00AD7B98"/>
    <w:rsid w:val="00AD7C1B"/>
    <w:rsid w:val="00AD7CD9"/>
    <w:rsid w:val="00AE0987"/>
    <w:rsid w:val="00AE0B5C"/>
    <w:rsid w:val="00AE0CCD"/>
    <w:rsid w:val="00AE0DBF"/>
    <w:rsid w:val="00AE1604"/>
    <w:rsid w:val="00AE1811"/>
    <w:rsid w:val="00AE1A8A"/>
    <w:rsid w:val="00AE1F86"/>
    <w:rsid w:val="00AE24D2"/>
    <w:rsid w:val="00AE29F5"/>
    <w:rsid w:val="00AE2D46"/>
    <w:rsid w:val="00AE2D6A"/>
    <w:rsid w:val="00AE3311"/>
    <w:rsid w:val="00AE367F"/>
    <w:rsid w:val="00AE3DD4"/>
    <w:rsid w:val="00AE401F"/>
    <w:rsid w:val="00AE4283"/>
    <w:rsid w:val="00AE46AC"/>
    <w:rsid w:val="00AE4E91"/>
    <w:rsid w:val="00AE4FAC"/>
    <w:rsid w:val="00AE52E0"/>
    <w:rsid w:val="00AE5521"/>
    <w:rsid w:val="00AE5B02"/>
    <w:rsid w:val="00AE62F2"/>
    <w:rsid w:val="00AE7234"/>
    <w:rsid w:val="00AE7BCF"/>
    <w:rsid w:val="00AF1220"/>
    <w:rsid w:val="00AF1228"/>
    <w:rsid w:val="00AF14C5"/>
    <w:rsid w:val="00AF17D0"/>
    <w:rsid w:val="00AF1B58"/>
    <w:rsid w:val="00AF1C13"/>
    <w:rsid w:val="00AF1FFE"/>
    <w:rsid w:val="00AF23FB"/>
    <w:rsid w:val="00AF2D6A"/>
    <w:rsid w:val="00AF2EFB"/>
    <w:rsid w:val="00AF2FF4"/>
    <w:rsid w:val="00AF30FB"/>
    <w:rsid w:val="00AF3437"/>
    <w:rsid w:val="00AF3488"/>
    <w:rsid w:val="00AF36BA"/>
    <w:rsid w:val="00AF38C9"/>
    <w:rsid w:val="00AF3F2E"/>
    <w:rsid w:val="00AF4C19"/>
    <w:rsid w:val="00AF4F1F"/>
    <w:rsid w:val="00AF5A53"/>
    <w:rsid w:val="00AF5C48"/>
    <w:rsid w:val="00AF626E"/>
    <w:rsid w:val="00AF735E"/>
    <w:rsid w:val="00AF7E20"/>
    <w:rsid w:val="00B0061D"/>
    <w:rsid w:val="00B00AA0"/>
    <w:rsid w:val="00B00AB7"/>
    <w:rsid w:val="00B00B0F"/>
    <w:rsid w:val="00B015A1"/>
    <w:rsid w:val="00B0198A"/>
    <w:rsid w:val="00B019A3"/>
    <w:rsid w:val="00B01BEB"/>
    <w:rsid w:val="00B0214C"/>
    <w:rsid w:val="00B023E2"/>
    <w:rsid w:val="00B026F3"/>
    <w:rsid w:val="00B029F1"/>
    <w:rsid w:val="00B02C91"/>
    <w:rsid w:val="00B02D51"/>
    <w:rsid w:val="00B036C0"/>
    <w:rsid w:val="00B048FA"/>
    <w:rsid w:val="00B04C2E"/>
    <w:rsid w:val="00B04C8E"/>
    <w:rsid w:val="00B04DD6"/>
    <w:rsid w:val="00B05139"/>
    <w:rsid w:val="00B05618"/>
    <w:rsid w:val="00B05C53"/>
    <w:rsid w:val="00B0685B"/>
    <w:rsid w:val="00B0691F"/>
    <w:rsid w:val="00B06922"/>
    <w:rsid w:val="00B06DE2"/>
    <w:rsid w:val="00B0715B"/>
    <w:rsid w:val="00B07298"/>
    <w:rsid w:val="00B076F9"/>
    <w:rsid w:val="00B07C1D"/>
    <w:rsid w:val="00B10442"/>
    <w:rsid w:val="00B10A8D"/>
    <w:rsid w:val="00B10C58"/>
    <w:rsid w:val="00B11A6D"/>
    <w:rsid w:val="00B12470"/>
    <w:rsid w:val="00B1250D"/>
    <w:rsid w:val="00B12976"/>
    <w:rsid w:val="00B12CC6"/>
    <w:rsid w:val="00B139EF"/>
    <w:rsid w:val="00B13E9B"/>
    <w:rsid w:val="00B14364"/>
    <w:rsid w:val="00B14B06"/>
    <w:rsid w:val="00B156C3"/>
    <w:rsid w:val="00B16841"/>
    <w:rsid w:val="00B17121"/>
    <w:rsid w:val="00B17183"/>
    <w:rsid w:val="00B17683"/>
    <w:rsid w:val="00B17CE2"/>
    <w:rsid w:val="00B2029F"/>
    <w:rsid w:val="00B20522"/>
    <w:rsid w:val="00B2099D"/>
    <w:rsid w:val="00B20F0D"/>
    <w:rsid w:val="00B21A9A"/>
    <w:rsid w:val="00B2238C"/>
    <w:rsid w:val="00B225C3"/>
    <w:rsid w:val="00B22854"/>
    <w:rsid w:val="00B23B06"/>
    <w:rsid w:val="00B24A2D"/>
    <w:rsid w:val="00B24BE2"/>
    <w:rsid w:val="00B24C30"/>
    <w:rsid w:val="00B25006"/>
    <w:rsid w:val="00B251CE"/>
    <w:rsid w:val="00B257CA"/>
    <w:rsid w:val="00B25D2B"/>
    <w:rsid w:val="00B25F89"/>
    <w:rsid w:val="00B2615D"/>
    <w:rsid w:val="00B26CEE"/>
    <w:rsid w:val="00B2745B"/>
    <w:rsid w:val="00B2756A"/>
    <w:rsid w:val="00B277C8"/>
    <w:rsid w:val="00B27B21"/>
    <w:rsid w:val="00B27D4A"/>
    <w:rsid w:val="00B3058F"/>
    <w:rsid w:val="00B30F65"/>
    <w:rsid w:val="00B30FFC"/>
    <w:rsid w:val="00B31283"/>
    <w:rsid w:val="00B31456"/>
    <w:rsid w:val="00B31B0C"/>
    <w:rsid w:val="00B321B2"/>
    <w:rsid w:val="00B323B2"/>
    <w:rsid w:val="00B324F1"/>
    <w:rsid w:val="00B325A6"/>
    <w:rsid w:val="00B327FF"/>
    <w:rsid w:val="00B32BC1"/>
    <w:rsid w:val="00B32D49"/>
    <w:rsid w:val="00B32D68"/>
    <w:rsid w:val="00B32FB2"/>
    <w:rsid w:val="00B331BA"/>
    <w:rsid w:val="00B3382C"/>
    <w:rsid w:val="00B33BF1"/>
    <w:rsid w:val="00B33EA9"/>
    <w:rsid w:val="00B343BC"/>
    <w:rsid w:val="00B345DE"/>
    <w:rsid w:val="00B34E53"/>
    <w:rsid w:val="00B35293"/>
    <w:rsid w:val="00B35444"/>
    <w:rsid w:val="00B354D7"/>
    <w:rsid w:val="00B35673"/>
    <w:rsid w:val="00B35B0B"/>
    <w:rsid w:val="00B360C3"/>
    <w:rsid w:val="00B36276"/>
    <w:rsid w:val="00B37034"/>
    <w:rsid w:val="00B37721"/>
    <w:rsid w:val="00B402FF"/>
    <w:rsid w:val="00B40585"/>
    <w:rsid w:val="00B40694"/>
    <w:rsid w:val="00B4229C"/>
    <w:rsid w:val="00B42346"/>
    <w:rsid w:val="00B42408"/>
    <w:rsid w:val="00B4294B"/>
    <w:rsid w:val="00B42F33"/>
    <w:rsid w:val="00B43396"/>
    <w:rsid w:val="00B43609"/>
    <w:rsid w:val="00B436A1"/>
    <w:rsid w:val="00B43811"/>
    <w:rsid w:val="00B4398A"/>
    <w:rsid w:val="00B43B7C"/>
    <w:rsid w:val="00B4456A"/>
    <w:rsid w:val="00B4485F"/>
    <w:rsid w:val="00B451EB"/>
    <w:rsid w:val="00B4580A"/>
    <w:rsid w:val="00B45EB2"/>
    <w:rsid w:val="00B45EBF"/>
    <w:rsid w:val="00B46550"/>
    <w:rsid w:val="00B46FEE"/>
    <w:rsid w:val="00B4747A"/>
    <w:rsid w:val="00B47919"/>
    <w:rsid w:val="00B47936"/>
    <w:rsid w:val="00B5046D"/>
    <w:rsid w:val="00B50503"/>
    <w:rsid w:val="00B50BD6"/>
    <w:rsid w:val="00B50D76"/>
    <w:rsid w:val="00B50F4D"/>
    <w:rsid w:val="00B51015"/>
    <w:rsid w:val="00B5126E"/>
    <w:rsid w:val="00B51693"/>
    <w:rsid w:val="00B51728"/>
    <w:rsid w:val="00B52C07"/>
    <w:rsid w:val="00B52D57"/>
    <w:rsid w:val="00B53534"/>
    <w:rsid w:val="00B53710"/>
    <w:rsid w:val="00B53AEE"/>
    <w:rsid w:val="00B53FBF"/>
    <w:rsid w:val="00B54111"/>
    <w:rsid w:val="00B54654"/>
    <w:rsid w:val="00B548C0"/>
    <w:rsid w:val="00B54906"/>
    <w:rsid w:val="00B54C5C"/>
    <w:rsid w:val="00B54E9E"/>
    <w:rsid w:val="00B55172"/>
    <w:rsid w:val="00B55199"/>
    <w:rsid w:val="00B55F75"/>
    <w:rsid w:val="00B5665C"/>
    <w:rsid w:val="00B56679"/>
    <w:rsid w:val="00B56DCE"/>
    <w:rsid w:val="00B5742F"/>
    <w:rsid w:val="00B60BE4"/>
    <w:rsid w:val="00B60BFD"/>
    <w:rsid w:val="00B61238"/>
    <w:rsid w:val="00B61629"/>
    <w:rsid w:val="00B616FA"/>
    <w:rsid w:val="00B61C41"/>
    <w:rsid w:val="00B6202F"/>
    <w:rsid w:val="00B620B2"/>
    <w:rsid w:val="00B620BC"/>
    <w:rsid w:val="00B62805"/>
    <w:rsid w:val="00B628E8"/>
    <w:rsid w:val="00B62E90"/>
    <w:rsid w:val="00B6374E"/>
    <w:rsid w:val="00B63B2B"/>
    <w:rsid w:val="00B64077"/>
    <w:rsid w:val="00B64825"/>
    <w:rsid w:val="00B648FC"/>
    <w:rsid w:val="00B64AF7"/>
    <w:rsid w:val="00B64B25"/>
    <w:rsid w:val="00B64B5C"/>
    <w:rsid w:val="00B64C5C"/>
    <w:rsid w:val="00B65090"/>
    <w:rsid w:val="00B656BD"/>
    <w:rsid w:val="00B66709"/>
    <w:rsid w:val="00B66F70"/>
    <w:rsid w:val="00B67036"/>
    <w:rsid w:val="00B6743C"/>
    <w:rsid w:val="00B677B2"/>
    <w:rsid w:val="00B67D68"/>
    <w:rsid w:val="00B67F9A"/>
    <w:rsid w:val="00B70DD1"/>
    <w:rsid w:val="00B70E61"/>
    <w:rsid w:val="00B715F2"/>
    <w:rsid w:val="00B717EF"/>
    <w:rsid w:val="00B719F0"/>
    <w:rsid w:val="00B71E04"/>
    <w:rsid w:val="00B72A15"/>
    <w:rsid w:val="00B72ECD"/>
    <w:rsid w:val="00B73140"/>
    <w:rsid w:val="00B73457"/>
    <w:rsid w:val="00B7352F"/>
    <w:rsid w:val="00B73B2F"/>
    <w:rsid w:val="00B7466D"/>
    <w:rsid w:val="00B74897"/>
    <w:rsid w:val="00B74CCE"/>
    <w:rsid w:val="00B74DCC"/>
    <w:rsid w:val="00B756C3"/>
    <w:rsid w:val="00B75C01"/>
    <w:rsid w:val="00B75FC6"/>
    <w:rsid w:val="00B76006"/>
    <w:rsid w:val="00B764C1"/>
    <w:rsid w:val="00B7660F"/>
    <w:rsid w:val="00B768EF"/>
    <w:rsid w:val="00B77322"/>
    <w:rsid w:val="00B77630"/>
    <w:rsid w:val="00B77A6F"/>
    <w:rsid w:val="00B77AA2"/>
    <w:rsid w:val="00B80214"/>
    <w:rsid w:val="00B8034E"/>
    <w:rsid w:val="00B80579"/>
    <w:rsid w:val="00B809A3"/>
    <w:rsid w:val="00B813A8"/>
    <w:rsid w:val="00B81E3C"/>
    <w:rsid w:val="00B82414"/>
    <w:rsid w:val="00B8277D"/>
    <w:rsid w:val="00B82E2D"/>
    <w:rsid w:val="00B82FC4"/>
    <w:rsid w:val="00B83CD6"/>
    <w:rsid w:val="00B849CE"/>
    <w:rsid w:val="00B85096"/>
    <w:rsid w:val="00B8511C"/>
    <w:rsid w:val="00B864B2"/>
    <w:rsid w:val="00B86DB1"/>
    <w:rsid w:val="00B870F6"/>
    <w:rsid w:val="00B876FA"/>
    <w:rsid w:val="00B87ADF"/>
    <w:rsid w:val="00B90063"/>
    <w:rsid w:val="00B90AD6"/>
    <w:rsid w:val="00B916FD"/>
    <w:rsid w:val="00B921EB"/>
    <w:rsid w:val="00B927CF"/>
    <w:rsid w:val="00B92818"/>
    <w:rsid w:val="00B92B7F"/>
    <w:rsid w:val="00B9312B"/>
    <w:rsid w:val="00B931CD"/>
    <w:rsid w:val="00B93AAC"/>
    <w:rsid w:val="00B93B7F"/>
    <w:rsid w:val="00B940F3"/>
    <w:rsid w:val="00B94B1B"/>
    <w:rsid w:val="00B94B62"/>
    <w:rsid w:val="00B94C41"/>
    <w:rsid w:val="00B94FA4"/>
    <w:rsid w:val="00B954B2"/>
    <w:rsid w:val="00B95A1A"/>
    <w:rsid w:val="00B95B6B"/>
    <w:rsid w:val="00B95FB1"/>
    <w:rsid w:val="00B96856"/>
    <w:rsid w:val="00B96F0D"/>
    <w:rsid w:val="00B9727C"/>
    <w:rsid w:val="00B9783B"/>
    <w:rsid w:val="00BA0220"/>
    <w:rsid w:val="00BA031F"/>
    <w:rsid w:val="00BA05C7"/>
    <w:rsid w:val="00BA08D5"/>
    <w:rsid w:val="00BA0D87"/>
    <w:rsid w:val="00BA19DF"/>
    <w:rsid w:val="00BA19EF"/>
    <w:rsid w:val="00BA1D7C"/>
    <w:rsid w:val="00BA21F2"/>
    <w:rsid w:val="00BA2B8E"/>
    <w:rsid w:val="00BA3A50"/>
    <w:rsid w:val="00BA3B80"/>
    <w:rsid w:val="00BA4010"/>
    <w:rsid w:val="00BA43E8"/>
    <w:rsid w:val="00BA44E0"/>
    <w:rsid w:val="00BA46D7"/>
    <w:rsid w:val="00BA4919"/>
    <w:rsid w:val="00BA4B3E"/>
    <w:rsid w:val="00BA4BB8"/>
    <w:rsid w:val="00BA5DB0"/>
    <w:rsid w:val="00BA614E"/>
    <w:rsid w:val="00BA645C"/>
    <w:rsid w:val="00BA6C6A"/>
    <w:rsid w:val="00BA6EBF"/>
    <w:rsid w:val="00BA727C"/>
    <w:rsid w:val="00BA7D61"/>
    <w:rsid w:val="00BA7EE9"/>
    <w:rsid w:val="00BA7F8B"/>
    <w:rsid w:val="00BB05B9"/>
    <w:rsid w:val="00BB07B9"/>
    <w:rsid w:val="00BB08EE"/>
    <w:rsid w:val="00BB0C6F"/>
    <w:rsid w:val="00BB0DAF"/>
    <w:rsid w:val="00BB0F0A"/>
    <w:rsid w:val="00BB11B0"/>
    <w:rsid w:val="00BB18D4"/>
    <w:rsid w:val="00BB19F2"/>
    <w:rsid w:val="00BB1B94"/>
    <w:rsid w:val="00BB1D97"/>
    <w:rsid w:val="00BB247D"/>
    <w:rsid w:val="00BB255D"/>
    <w:rsid w:val="00BB25CB"/>
    <w:rsid w:val="00BB25D9"/>
    <w:rsid w:val="00BB26B8"/>
    <w:rsid w:val="00BB370A"/>
    <w:rsid w:val="00BB3854"/>
    <w:rsid w:val="00BB3928"/>
    <w:rsid w:val="00BB3D62"/>
    <w:rsid w:val="00BB449E"/>
    <w:rsid w:val="00BB553F"/>
    <w:rsid w:val="00BB564A"/>
    <w:rsid w:val="00BB5CE2"/>
    <w:rsid w:val="00BB60EB"/>
    <w:rsid w:val="00BB77D6"/>
    <w:rsid w:val="00BB783D"/>
    <w:rsid w:val="00BB7B76"/>
    <w:rsid w:val="00BB7DAD"/>
    <w:rsid w:val="00BC03DD"/>
    <w:rsid w:val="00BC086B"/>
    <w:rsid w:val="00BC0FB5"/>
    <w:rsid w:val="00BC1286"/>
    <w:rsid w:val="00BC1683"/>
    <w:rsid w:val="00BC16C3"/>
    <w:rsid w:val="00BC1E86"/>
    <w:rsid w:val="00BC221C"/>
    <w:rsid w:val="00BC25BC"/>
    <w:rsid w:val="00BC2A66"/>
    <w:rsid w:val="00BC3236"/>
    <w:rsid w:val="00BC3B76"/>
    <w:rsid w:val="00BC5389"/>
    <w:rsid w:val="00BC5B1C"/>
    <w:rsid w:val="00BC5C2C"/>
    <w:rsid w:val="00BC5E37"/>
    <w:rsid w:val="00BC61B7"/>
    <w:rsid w:val="00BC6312"/>
    <w:rsid w:val="00BC63C6"/>
    <w:rsid w:val="00BC64FE"/>
    <w:rsid w:val="00BC6B03"/>
    <w:rsid w:val="00BC6D70"/>
    <w:rsid w:val="00BC7218"/>
    <w:rsid w:val="00BC72FE"/>
    <w:rsid w:val="00BC7A1A"/>
    <w:rsid w:val="00BC7DF2"/>
    <w:rsid w:val="00BC7F13"/>
    <w:rsid w:val="00BD0462"/>
    <w:rsid w:val="00BD0AC9"/>
    <w:rsid w:val="00BD0CCC"/>
    <w:rsid w:val="00BD0E84"/>
    <w:rsid w:val="00BD1F35"/>
    <w:rsid w:val="00BD25F7"/>
    <w:rsid w:val="00BD2A57"/>
    <w:rsid w:val="00BD3033"/>
    <w:rsid w:val="00BD30EE"/>
    <w:rsid w:val="00BD3BD3"/>
    <w:rsid w:val="00BD438B"/>
    <w:rsid w:val="00BD4EF8"/>
    <w:rsid w:val="00BD52E3"/>
    <w:rsid w:val="00BD56DA"/>
    <w:rsid w:val="00BD5982"/>
    <w:rsid w:val="00BD5B02"/>
    <w:rsid w:val="00BD5C8D"/>
    <w:rsid w:val="00BD63E0"/>
    <w:rsid w:val="00BD6420"/>
    <w:rsid w:val="00BD6465"/>
    <w:rsid w:val="00BD6603"/>
    <w:rsid w:val="00BD6762"/>
    <w:rsid w:val="00BD711B"/>
    <w:rsid w:val="00BD7C79"/>
    <w:rsid w:val="00BD7F17"/>
    <w:rsid w:val="00BE0023"/>
    <w:rsid w:val="00BE027E"/>
    <w:rsid w:val="00BE03E3"/>
    <w:rsid w:val="00BE042B"/>
    <w:rsid w:val="00BE06D2"/>
    <w:rsid w:val="00BE06E4"/>
    <w:rsid w:val="00BE072B"/>
    <w:rsid w:val="00BE0F6A"/>
    <w:rsid w:val="00BE2037"/>
    <w:rsid w:val="00BE2723"/>
    <w:rsid w:val="00BE2863"/>
    <w:rsid w:val="00BE2D85"/>
    <w:rsid w:val="00BE36BA"/>
    <w:rsid w:val="00BE394E"/>
    <w:rsid w:val="00BE3A7A"/>
    <w:rsid w:val="00BE48C1"/>
    <w:rsid w:val="00BE4BD6"/>
    <w:rsid w:val="00BE4F31"/>
    <w:rsid w:val="00BE508A"/>
    <w:rsid w:val="00BE53BC"/>
    <w:rsid w:val="00BE5407"/>
    <w:rsid w:val="00BE5614"/>
    <w:rsid w:val="00BE5633"/>
    <w:rsid w:val="00BE64D7"/>
    <w:rsid w:val="00BE71C4"/>
    <w:rsid w:val="00BE7B79"/>
    <w:rsid w:val="00BE7D57"/>
    <w:rsid w:val="00BF07EB"/>
    <w:rsid w:val="00BF0BB7"/>
    <w:rsid w:val="00BF0C29"/>
    <w:rsid w:val="00BF1688"/>
    <w:rsid w:val="00BF189A"/>
    <w:rsid w:val="00BF19D3"/>
    <w:rsid w:val="00BF1D18"/>
    <w:rsid w:val="00BF1DCA"/>
    <w:rsid w:val="00BF29DA"/>
    <w:rsid w:val="00BF2A6E"/>
    <w:rsid w:val="00BF2B2A"/>
    <w:rsid w:val="00BF2DCC"/>
    <w:rsid w:val="00BF3216"/>
    <w:rsid w:val="00BF37A3"/>
    <w:rsid w:val="00BF3953"/>
    <w:rsid w:val="00BF3CBC"/>
    <w:rsid w:val="00BF3CCB"/>
    <w:rsid w:val="00BF44A5"/>
    <w:rsid w:val="00BF4D01"/>
    <w:rsid w:val="00BF4DEE"/>
    <w:rsid w:val="00BF526A"/>
    <w:rsid w:val="00BF55DE"/>
    <w:rsid w:val="00BF5620"/>
    <w:rsid w:val="00BF5A07"/>
    <w:rsid w:val="00BF5BD4"/>
    <w:rsid w:val="00BF5C4B"/>
    <w:rsid w:val="00BF5EDB"/>
    <w:rsid w:val="00BF6E3C"/>
    <w:rsid w:val="00BF73CC"/>
    <w:rsid w:val="00BF74A6"/>
    <w:rsid w:val="00BF766B"/>
    <w:rsid w:val="00C01CBD"/>
    <w:rsid w:val="00C02E6A"/>
    <w:rsid w:val="00C033F8"/>
    <w:rsid w:val="00C03EB3"/>
    <w:rsid w:val="00C042B0"/>
    <w:rsid w:val="00C043BE"/>
    <w:rsid w:val="00C045C2"/>
    <w:rsid w:val="00C047AF"/>
    <w:rsid w:val="00C055DD"/>
    <w:rsid w:val="00C05684"/>
    <w:rsid w:val="00C05B88"/>
    <w:rsid w:val="00C05F36"/>
    <w:rsid w:val="00C06092"/>
    <w:rsid w:val="00C062CD"/>
    <w:rsid w:val="00C06A1E"/>
    <w:rsid w:val="00C06CF6"/>
    <w:rsid w:val="00C0704D"/>
    <w:rsid w:val="00C07080"/>
    <w:rsid w:val="00C07BB1"/>
    <w:rsid w:val="00C07C3A"/>
    <w:rsid w:val="00C10564"/>
    <w:rsid w:val="00C1081B"/>
    <w:rsid w:val="00C10922"/>
    <w:rsid w:val="00C10D68"/>
    <w:rsid w:val="00C11389"/>
    <w:rsid w:val="00C11413"/>
    <w:rsid w:val="00C11616"/>
    <w:rsid w:val="00C118FC"/>
    <w:rsid w:val="00C11E14"/>
    <w:rsid w:val="00C12018"/>
    <w:rsid w:val="00C1248B"/>
    <w:rsid w:val="00C127AF"/>
    <w:rsid w:val="00C12C4C"/>
    <w:rsid w:val="00C12EAE"/>
    <w:rsid w:val="00C134C3"/>
    <w:rsid w:val="00C134CE"/>
    <w:rsid w:val="00C1378D"/>
    <w:rsid w:val="00C1438A"/>
    <w:rsid w:val="00C1481E"/>
    <w:rsid w:val="00C15259"/>
    <w:rsid w:val="00C159E8"/>
    <w:rsid w:val="00C15CDC"/>
    <w:rsid w:val="00C15F84"/>
    <w:rsid w:val="00C16252"/>
    <w:rsid w:val="00C166C3"/>
    <w:rsid w:val="00C2029D"/>
    <w:rsid w:val="00C20906"/>
    <w:rsid w:val="00C20D00"/>
    <w:rsid w:val="00C20D79"/>
    <w:rsid w:val="00C20FB4"/>
    <w:rsid w:val="00C2135D"/>
    <w:rsid w:val="00C2147E"/>
    <w:rsid w:val="00C217B0"/>
    <w:rsid w:val="00C21BD0"/>
    <w:rsid w:val="00C2285C"/>
    <w:rsid w:val="00C22A8E"/>
    <w:rsid w:val="00C236E4"/>
    <w:rsid w:val="00C23867"/>
    <w:rsid w:val="00C24019"/>
    <w:rsid w:val="00C2414E"/>
    <w:rsid w:val="00C2452D"/>
    <w:rsid w:val="00C246EE"/>
    <w:rsid w:val="00C24F6C"/>
    <w:rsid w:val="00C25025"/>
    <w:rsid w:val="00C2509F"/>
    <w:rsid w:val="00C252E2"/>
    <w:rsid w:val="00C25FEB"/>
    <w:rsid w:val="00C261BE"/>
    <w:rsid w:val="00C26D76"/>
    <w:rsid w:val="00C27C02"/>
    <w:rsid w:val="00C309CB"/>
    <w:rsid w:val="00C30DD9"/>
    <w:rsid w:val="00C310DB"/>
    <w:rsid w:val="00C31181"/>
    <w:rsid w:val="00C318B8"/>
    <w:rsid w:val="00C31F04"/>
    <w:rsid w:val="00C321E5"/>
    <w:rsid w:val="00C32FC8"/>
    <w:rsid w:val="00C33402"/>
    <w:rsid w:val="00C337A3"/>
    <w:rsid w:val="00C33D31"/>
    <w:rsid w:val="00C3480A"/>
    <w:rsid w:val="00C34810"/>
    <w:rsid w:val="00C34FC3"/>
    <w:rsid w:val="00C35439"/>
    <w:rsid w:val="00C35A48"/>
    <w:rsid w:val="00C35C63"/>
    <w:rsid w:val="00C36048"/>
    <w:rsid w:val="00C3608D"/>
    <w:rsid w:val="00C360B0"/>
    <w:rsid w:val="00C366A4"/>
    <w:rsid w:val="00C40938"/>
    <w:rsid w:val="00C409A0"/>
    <w:rsid w:val="00C41193"/>
    <w:rsid w:val="00C4159E"/>
    <w:rsid w:val="00C419F9"/>
    <w:rsid w:val="00C41CAA"/>
    <w:rsid w:val="00C41E60"/>
    <w:rsid w:val="00C41F0E"/>
    <w:rsid w:val="00C41F69"/>
    <w:rsid w:val="00C422E0"/>
    <w:rsid w:val="00C42C63"/>
    <w:rsid w:val="00C43079"/>
    <w:rsid w:val="00C437BC"/>
    <w:rsid w:val="00C43C0D"/>
    <w:rsid w:val="00C43D8A"/>
    <w:rsid w:val="00C43F72"/>
    <w:rsid w:val="00C43F99"/>
    <w:rsid w:val="00C44210"/>
    <w:rsid w:val="00C448B9"/>
    <w:rsid w:val="00C45718"/>
    <w:rsid w:val="00C46865"/>
    <w:rsid w:val="00C46871"/>
    <w:rsid w:val="00C46C40"/>
    <w:rsid w:val="00C46CCC"/>
    <w:rsid w:val="00C4760D"/>
    <w:rsid w:val="00C47655"/>
    <w:rsid w:val="00C4783B"/>
    <w:rsid w:val="00C50312"/>
    <w:rsid w:val="00C5045E"/>
    <w:rsid w:val="00C50AB9"/>
    <w:rsid w:val="00C50BBF"/>
    <w:rsid w:val="00C50C9D"/>
    <w:rsid w:val="00C5105F"/>
    <w:rsid w:val="00C51090"/>
    <w:rsid w:val="00C5120C"/>
    <w:rsid w:val="00C51862"/>
    <w:rsid w:val="00C51C55"/>
    <w:rsid w:val="00C52C42"/>
    <w:rsid w:val="00C5358E"/>
    <w:rsid w:val="00C53B6A"/>
    <w:rsid w:val="00C545A5"/>
    <w:rsid w:val="00C546EB"/>
    <w:rsid w:val="00C54717"/>
    <w:rsid w:val="00C54B9E"/>
    <w:rsid w:val="00C54DA8"/>
    <w:rsid w:val="00C553AB"/>
    <w:rsid w:val="00C5571B"/>
    <w:rsid w:val="00C559B1"/>
    <w:rsid w:val="00C57B50"/>
    <w:rsid w:val="00C605AC"/>
    <w:rsid w:val="00C61942"/>
    <w:rsid w:val="00C62C33"/>
    <w:rsid w:val="00C62EDB"/>
    <w:rsid w:val="00C63821"/>
    <w:rsid w:val="00C639AE"/>
    <w:rsid w:val="00C63B21"/>
    <w:rsid w:val="00C645F2"/>
    <w:rsid w:val="00C64DD0"/>
    <w:rsid w:val="00C65039"/>
    <w:rsid w:val="00C65041"/>
    <w:rsid w:val="00C6546E"/>
    <w:rsid w:val="00C65805"/>
    <w:rsid w:val="00C65B1D"/>
    <w:rsid w:val="00C65EB9"/>
    <w:rsid w:val="00C660AD"/>
    <w:rsid w:val="00C661CA"/>
    <w:rsid w:val="00C66672"/>
    <w:rsid w:val="00C66AF7"/>
    <w:rsid w:val="00C66B99"/>
    <w:rsid w:val="00C66C2A"/>
    <w:rsid w:val="00C66E01"/>
    <w:rsid w:val="00C67158"/>
    <w:rsid w:val="00C6740B"/>
    <w:rsid w:val="00C67C70"/>
    <w:rsid w:val="00C705A1"/>
    <w:rsid w:val="00C715BD"/>
    <w:rsid w:val="00C7184A"/>
    <w:rsid w:val="00C71ADB"/>
    <w:rsid w:val="00C71DC9"/>
    <w:rsid w:val="00C722FA"/>
    <w:rsid w:val="00C726F0"/>
    <w:rsid w:val="00C73032"/>
    <w:rsid w:val="00C73870"/>
    <w:rsid w:val="00C74154"/>
    <w:rsid w:val="00C742C9"/>
    <w:rsid w:val="00C748D1"/>
    <w:rsid w:val="00C74A28"/>
    <w:rsid w:val="00C74F1C"/>
    <w:rsid w:val="00C74F4D"/>
    <w:rsid w:val="00C75188"/>
    <w:rsid w:val="00C75706"/>
    <w:rsid w:val="00C75B63"/>
    <w:rsid w:val="00C76026"/>
    <w:rsid w:val="00C76304"/>
    <w:rsid w:val="00C770F4"/>
    <w:rsid w:val="00C7732C"/>
    <w:rsid w:val="00C77BEA"/>
    <w:rsid w:val="00C80951"/>
    <w:rsid w:val="00C81436"/>
    <w:rsid w:val="00C818A1"/>
    <w:rsid w:val="00C81B05"/>
    <w:rsid w:val="00C81F40"/>
    <w:rsid w:val="00C81F8B"/>
    <w:rsid w:val="00C820DD"/>
    <w:rsid w:val="00C82164"/>
    <w:rsid w:val="00C8219C"/>
    <w:rsid w:val="00C8317E"/>
    <w:rsid w:val="00C831F7"/>
    <w:rsid w:val="00C836D8"/>
    <w:rsid w:val="00C84565"/>
    <w:rsid w:val="00C853E0"/>
    <w:rsid w:val="00C85D02"/>
    <w:rsid w:val="00C8632E"/>
    <w:rsid w:val="00C8641B"/>
    <w:rsid w:val="00C866DD"/>
    <w:rsid w:val="00C869EB"/>
    <w:rsid w:val="00C86E7A"/>
    <w:rsid w:val="00C871DE"/>
    <w:rsid w:val="00C87269"/>
    <w:rsid w:val="00C87D23"/>
    <w:rsid w:val="00C87E27"/>
    <w:rsid w:val="00C87EB5"/>
    <w:rsid w:val="00C9060C"/>
    <w:rsid w:val="00C90C55"/>
    <w:rsid w:val="00C90CE0"/>
    <w:rsid w:val="00C90E6F"/>
    <w:rsid w:val="00C912DE"/>
    <w:rsid w:val="00C91887"/>
    <w:rsid w:val="00C92351"/>
    <w:rsid w:val="00C9335E"/>
    <w:rsid w:val="00C93A3E"/>
    <w:rsid w:val="00C94662"/>
    <w:rsid w:val="00C94B36"/>
    <w:rsid w:val="00C94C6E"/>
    <w:rsid w:val="00C95297"/>
    <w:rsid w:val="00C95453"/>
    <w:rsid w:val="00C95667"/>
    <w:rsid w:val="00C956C5"/>
    <w:rsid w:val="00C95F06"/>
    <w:rsid w:val="00C96567"/>
    <w:rsid w:val="00C96780"/>
    <w:rsid w:val="00C97994"/>
    <w:rsid w:val="00C97C72"/>
    <w:rsid w:val="00C97DA6"/>
    <w:rsid w:val="00CA04E0"/>
    <w:rsid w:val="00CA0883"/>
    <w:rsid w:val="00CA0966"/>
    <w:rsid w:val="00CA0EE7"/>
    <w:rsid w:val="00CA1061"/>
    <w:rsid w:val="00CA1278"/>
    <w:rsid w:val="00CA1B0E"/>
    <w:rsid w:val="00CA2267"/>
    <w:rsid w:val="00CA2531"/>
    <w:rsid w:val="00CA273C"/>
    <w:rsid w:val="00CA2CF4"/>
    <w:rsid w:val="00CA30B4"/>
    <w:rsid w:val="00CA31FA"/>
    <w:rsid w:val="00CA34EA"/>
    <w:rsid w:val="00CA3B2A"/>
    <w:rsid w:val="00CA4625"/>
    <w:rsid w:val="00CA4B20"/>
    <w:rsid w:val="00CA76C6"/>
    <w:rsid w:val="00CA76CF"/>
    <w:rsid w:val="00CB0851"/>
    <w:rsid w:val="00CB1240"/>
    <w:rsid w:val="00CB172C"/>
    <w:rsid w:val="00CB20E6"/>
    <w:rsid w:val="00CB266E"/>
    <w:rsid w:val="00CB2A14"/>
    <w:rsid w:val="00CB2B91"/>
    <w:rsid w:val="00CB2C3C"/>
    <w:rsid w:val="00CB2F87"/>
    <w:rsid w:val="00CB3869"/>
    <w:rsid w:val="00CB389E"/>
    <w:rsid w:val="00CB43C5"/>
    <w:rsid w:val="00CB4783"/>
    <w:rsid w:val="00CB5182"/>
    <w:rsid w:val="00CB5BA6"/>
    <w:rsid w:val="00CB6A13"/>
    <w:rsid w:val="00CB720F"/>
    <w:rsid w:val="00CB7A6A"/>
    <w:rsid w:val="00CB7EB8"/>
    <w:rsid w:val="00CC0432"/>
    <w:rsid w:val="00CC0438"/>
    <w:rsid w:val="00CC0495"/>
    <w:rsid w:val="00CC04EE"/>
    <w:rsid w:val="00CC0651"/>
    <w:rsid w:val="00CC06C5"/>
    <w:rsid w:val="00CC0742"/>
    <w:rsid w:val="00CC0785"/>
    <w:rsid w:val="00CC08A9"/>
    <w:rsid w:val="00CC0A34"/>
    <w:rsid w:val="00CC10BA"/>
    <w:rsid w:val="00CC2945"/>
    <w:rsid w:val="00CC33D8"/>
    <w:rsid w:val="00CC3FD0"/>
    <w:rsid w:val="00CC4836"/>
    <w:rsid w:val="00CC484B"/>
    <w:rsid w:val="00CC4B75"/>
    <w:rsid w:val="00CC4BA6"/>
    <w:rsid w:val="00CC4BB0"/>
    <w:rsid w:val="00CC4D87"/>
    <w:rsid w:val="00CC550F"/>
    <w:rsid w:val="00CC5811"/>
    <w:rsid w:val="00CC6791"/>
    <w:rsid w:val="00CC6C4D"/>
    <w:rsid w:val="00CC7152"/>
    <w:rsid w:val="00CC71D5"/>
    <w:rsid w:val="00CC74E2"/>
    <w:rsid w:val="00CC75A6"/>
    <w:rsid w:val="00CC7895"/>
    <w:rsid w:val="00CC7C49"/>
    <w:rsid w:val="00CD0965"/>
    <w:rsid w:val="00CD0D96"/>
    <w:rsid w:val="00CD0E4B"/>
    <w:rsid w:val="00CD11D9"/>
    <w:rsid w:val="00CD12AD"/>
    <w:rsid w:val="00CD139B"/>
    <w:rsid w:val="00CD1F2A"/>
    <w:rsid w:val="00CD2334"/>
    <w:rsid w:val="00CD2854"/>
    <w:rsid w:val="00CD292D"/>
    <w:rsid w:val="00CD2A00"/>
    <w:rsid w:val="00CD3AFA"/>
    <w:rsid w:val="00CD421D"/>
    <w:rsid w:val="00CD42C7"/>
    <w:rsid w:val="00CD4D06"/>
    <w:rsid w:val="00CD4E39"/>
    <w:rsid w:val="00CD4F30"/>
    <w:rsid w:val="00CD5227"/>
    <w:rsid w:val="00CD528B"/>
    <w:rsid w:val="00CD549D"/>
    <w:rsid w:val="00CD57DA"/>
    <w:rsid w:val="00CD59CA"/>
    <w:rsid w:val="00CD5C23"/>
    <w:rsid w:val="00CD5CDB"/>
    <w:rsid w:val="00CD607A"/>
    <w:rsid w:val="00CD6549"/>
    <w:rsid w:val="00CD68B9"/>
    <w:rsid w:val="00CD75E0"/>
    <w:rsid w:val="00CD7EED"/>
    <w:rsid w:val="00CE12CE"/>
    <w:rsid w:val="00CE13CB"/>
    <w:rsid w:val="00CE13EC"/>
    <w:rsid w:val="00CE1C68"/>
    <w:rsid w:val="00CE2372"/>
    <w:rsid w:val="00CE2549"/>
    <w:rsid w:val="00CE268F"/>
    <w:rsid w:val="00CE2803"/>
    <w:rsid w:val="00CE3BE0"/>
    <w:rsid w:val="00CE3FD2"/>
    <w:rsid w:val="00CE446B"/>
    <w:rsid w:val="00CE4A02"/>
    <w:rsid w:val="00CE4AA9"/>
    <w:rsid w:val="00CE4BE0"/>
    <w:rsid w:val="00CE5070"/>
    <w:rsid w:val="00CE5BE2"/>
    <w:rsid w:val="00CE6139"/>
    <w:rsid w:val="00CE6166"/>
    <w:rsid w:val="00CE6411"/>
    <w:rsid w:val="00CE646B"/>
    <w:rsid w:val="00CE64CC"/>
    <w:rsid w:val="00CE6A10"/>
    <w:rsid w:val="00CE785D"/>
    <w:rsid w:val="00CE7ADA"/>
    <w:rsid w:val="00CE7C2D"/>
    <w:rsid w:val="00CE7FFA"/>
    <w:rsid w:val="00CF022D"/>
    <w:rsid w:val="00CF06A4"/>
    <w:rsid w:val="00CF0839"/>
    <w:rsid w:val="00CF0F0C"/>
    <w:rsid w:val="00CF1160"/>
    <w:rsid w:val="00CF18FE"/>
    <w:rsid w:val="00CF1A54"/>
    <w:rsid w:val="00CF1B6C"/>
    <w:rsid w:val="00CF232A"/>
    <w:rsid w:val="00CF235E"/>
    <w:rsid w:val="00CF2525"/>
    <w:rsid w:val="00CF254F"/>
    <w:rsid w:val="00CF2C1E"/>
    <w:rsid w:val="00CF31FC"/>
    <w:rsid w:val="00CF337F"/>
    <w:rsid w:val="00CF39FF"/>
    <w:rsid w:val="00CF3E11"/>
    <w:rsid w:val="00CF525B"/>
    <w:rsid w:val="00CF53A9"/>
    <w:rsid w:val="00CF60FC"/>
    <w:rsid w:val="00CF66A1"/>
    <w:rsid w:val="00CF6768"/>
    <w:rsid w:val="00CF67FE"/>
    <w:rsid w:val="00CF71C7"/>
    <w:rsid w:val="00D00006"/>
    <w:rsid w:val="00D00079"/>
    <w:rsid w:val="00D01201"/>
    <w:rsid w:val="00D0130A"/>
    <w:rsid w:val="00D01353"/>
    <w:rsid w:val="00D029AE"/>
    <w:rsid w:val="00D02CE6"/>
    <w:rsid w:val="00D03E04"/>
    <w:rsid w:val="00D0451D"/>
    <w:rsid w:val="00D049CF"/>
    <w:rsid w:val="00D04EAA"/>
    <w:rsid w:val="00D04F49"/>
    <w:rsid w:val="00D050CA"/>
    <w:rsid w:val="00D05902"/>
    <w:rsid w:val="00D05CC4"/>
    <w:rsid w:val="00D05CCD"/>
    <w:rsid w:val="00D069C0"/>
    <w:rsid w:val="00D06B14"/>
    <w:rsid w:val="00D06BD0"/>
    <w:rsid w:val="00D0718F"/>
    <w:rsid w:val="00D07D55"/>
    <w:rsid w:val="00D07F20"/>
    <w:rsid w:val="00D1014D"/>
    <w:rsid w:val="00D10150"/>
    <w:rsid w:val="00D10E0A"/>
    <w:rsid w:val="00D11DF8"/>
    <w:rsid w:val="00D1202E"/>
    <w:rsid w:val="00D1266E"/>
    <w:rsid w:val="00D126BA"/>
    <w:rsid w:val="00D127CD"/>
    <w:rsid w:val="00D12B39"/>
    <w:rsid w:val="00D13129"/>
    <w:rsid w:val="00D1366F"/>
    <w:rsid w:val="00D14201"/>
    <w:rsid w:val="00D146A2"/>
    <w:rsid w:val="00D14782"/>
    <w:rsid w:val="00D14C75"/>
    <w:rsid w:val="00D15021"/>
    <w:rsid w:val="00D158DC"/>
    <w:rsid w:val="00D16816"/>
    <w:rsid w:val="00D16BDE"/>
    <w:rsid w:val="00D16D4A"/>
    <w:rsid w:val="00D16FDC"/>
    <w:rsid w:val="00D173F0"/>
    <w:rsid w:val="00D17868"/>
    <w:rsid w:val="00D17A48"/>
    <w:rsid w:val="00D17CA9"/>
    <w:rsid w:val="00D17D22"/>
    <w:rsid w:val="00D17D2F"/>
    <w:rsid w:val="00D206AA"/>
    <w:rsid w:val="00D20F04"/>
    <w:rsid w:val="00D21B4E"/>
    <w:rsid w:val="00D228AD"/>
    <w:rsid w:val="00D22BC0"/>
    <w:rsid w:val="00D22C0F"/>
    <w:rsid w:val="00D22F37"/>
    <w:rsid w:val="00D231CC"/>
    <w:rsid w:val="00D23AE4"/>
    <w:rsid w:val="00D23AEB"/>
    <w:rsid w:val="00D23B29"/>
    <w:rsid w:val="00D24127"/>
    <w:rsid w:val="00D241CA"/>
    <w:rsid w:val="00D24229"/>
    <w:rsid w:val="00D24479"/>
    <w:rsid w:val="00D245AF"/>
    <w:rsid w:val="00D245FB"/>
    <w:rsid w:val="00D2483C"/>
    <w:rsid w:val="00D256CB"/>
    <w:rsid w:val="00D25EDD"/>
    <w:rsid w:val="00D266BC"/>
    <w:rsid w:val="00D26807"/>
    <w:rsid w:val="00D268DE"/>
    <w:rsid w:val="00D26A54"/>
    <w:rsid w:val="00D27C01"/>
    <w:rsid w:val="00D27C80"/>
    <w:rsid w:val="00D27DC9"/>
    <w:rsid w:val="00D27FFA"/>
    <w:rsid w:val="00D300DC"/>
    <w:rsid w:val="00D30187"/>
    <w:rsid w:val="00D30565"/>
    <w:rsid w:val="00D312D0"/>
    <w:rsid w:val="00D31455"/>
    <w:rsid w:val="00D31A9D"/>
    <w:rsid w:val="00D31AC6"/>
    <w:rsid w:val="00D31C33"/>
    <w:rsid w:val="00D31F46"/>
    <w:rsid w:val="00D32D38"/>
    <w:rsid w:val="00D334F4"/>
    <w:rsid w:val="00D337C2"/>
    <w:rsid w:val="00D33A63"/>
    <w:rsid w:val="00D3516F"/>
    <w:rsid w:val="00D35474"/>
    <w:rsid w:val="00D354D7"/>
    <w:rsid w:val="00D369FB"/>
    <w:rsid w:val="00D36D37"/>
    <w:rsid w:val="00D372E8"/>
    <w:rsid w:val="00D37374"/>
    <w:rsid w:val="00D4015B"/>
    <w:rsid w:val="00D40169"/>
    <w:rsid w:val="00D402C2"/>
    <w:rsid w:val="00D40384"/>
    <w:rsid w:val="00D408B1"/>
    <w:rsid w:val="00D40F25"/>
    <w:rsid w:val="00D412EF"/>
    <w:rsid w:val="00D41A21"/>
    <w:rsid w:val="00D421F7"/>
    <w:rsid w:val="00D42B2E"/>
    <w:rsid w:val="00D431F9"/>
    <w:rsid w:val="00D43DA9"/>
    <w:rsid w:val="00D44244"/>
    <w:rsid w:val="00D4436F"/>
    <w:rsid w:val="00D4460E"/>
    <w:rsid w:val="00D452E3"/>
    <w:rsid w:val="00D45C8F"/>
    <w:rsid w:val="00D460A0"/>
    <w:rsid w:val="00D46422"/>
    <w:rsid w:val="00D46464"/>
    <w:rsid w:val="00D46EBF"/>
    <w:rsid w:val="00D47210"/>
    <w:rsid w:val="00D47359"/>
    <w:rsid w:val="00D478B0"/>
    <w:rsid w:val="00D47942"/>
    <w:rsid w:val="00D47DCA"/>
    <w:rsid w:val="00D501D5"/>
    <w:rsid w:val="00D50C29"/>
    <w:rsid w:val="00D50CED"/>
    <w:rsid w:val="00D511AD"/>
    <w:rsid w:val="00D5186C"/>
    <w:rsid w:val="00D52313"/>
    <w:rsid w:val="00D52DE1"/>
    <w:rsid w:val="00D535DB"/>
    <w:rsid w:val="00D54081"/>
    <w:rsid w:val="00D54F52"/>
    <w:rsid w:val="00D553AA"/>
    <w:rsid w:val="00D564F3"/>
    <w:rsid w:val="00D56A0E"/>
    <w:rsid w:val="00D56AA9"/>
    <w:rsid w:val="00D5732F"/>
    <w:rsid w:val="00D573CA"/>
    <w:rsid w:val="00D57775"/>
    <w:rsid w:val="00D5795C"/>
    <w:rsid w:val="00D57B2F"/>
    <w:rsid w:val="00D57F6A"/>
    <w:rsid w:val="00D60248"/>
    <w:rsid w:val="00D606D9"/>
    <w:rsid w:val="00D60B06"/>
    <w:rsid w:val="00D615FA"/>
    <w:rsid w:val="00D61B3C"/>
    <w:rsid w:val="00D61FE2"/>
    <w:rsid w:val="00D62699"/>
    <w:rsid w:val="00D629B9"/>
    <w:rsid w:val="00D62C33"/>
    <w:rsid w:val="00D631F5"/>
    <w:rsid w:val="00D63376"/>
    <w:rsid w:val="00D63CC1"/>
    <w:rsid w:val="00D63EE6"/>
    <w:rsid w:val="00D64625"/>
    <w:rsid w:val="00D64BC1"/>
    <w:rsid w:val="00D65282"/>
    <w:rsid w:val="00D65A30"/>
    <w:rsid w:val="00D65E60"/>
    <w:rsid w:val="00D66124"/>
    <w:rsid w:val="00D6650E"/>
    <w:rsid w:val="00D665C6"/>
    <w:rsid w:val="00D66E3A"/>
    <w:rsid w:val="00D67169"/>
    <w:rsid w:val="00D67C73"/>
    <w:rsid w:val="00D67DC0"/>
    <w:rsid w:val="00D7006C"/>
    <w:rsid w:val="00D70C0C"/>
    <w:rsid w:val="00D70D1F"/>
    <w:rsid w:val="00D7107A"/>
    <w:rsid w:val="00D715D1"/>
    <w:rsid w:val="00D7208E"/>
    <w:rsid w:val="00D72751"/>
    <w:rsid w:val="00D72C4A"/>
    <w:rsid w:val="00D731F0"/>
    <w:rsid w:val="00D74495"/>
    <w:rsid w:val="00D7469C"/>
    <w:rsid w:val="00D74998"/>
    <w:rsid w:val="00D74EA0"/>
    <w:rsid w:val="00D754D5"/>
    <w:rsid w:val="00D754FB"/>
    <w:rsid w:val="00D76A20"/>
    <w:rsid w:val="00D7701D"/>
    <w:rsid w:val="00D77461"/>
    <w:rsid w:val="00D774EE"/>
    <w:rsid w:val="00D774F3"/>
    <w:rsid w:val="00D80603"/>
    <w:rsid w:val="00D8084E"/>
    <w:rsid w:val="00D80B06"/>
    <w:rsid w:val="00D80C52"/>
    <w:rsid w:val="00D80DE6"/>
    <w:rsid w:val="00D817F6"/>
    <w:rsid w:val="00D81AA4"/>
    <w:rsid w:val="00D81B40"/>
    <w:rsid w:val="00D826B3"/>
    <w:rsid w:val="00D84185"/>
    <w:rsid w:val="00D84714"/>
    <w:rsid w:val="00D85040"/>
    <w:rsid w:val="00D85295"/>
    <w:rsid w:val="00D854FC"/>
    <w:rsid w:val="00D85BC4"/>
    <w:rsid w:val="00D86511"/>
    <w:rsid w:val="00D86D06"/>
    <w:rsid w:val="00D86EA4"/>
    <w:rsid w:val="00D872F8"/>
    <w:rsid w:val="00D873EC"/>
    <w:rsid w:val="00D87FEA"/>
    <w:rsid w:val="00D904AA"/>
    <w:rsid w:val="00D90606"/>
    <w:rsid w:val="00D91BD1"/>
    <w:rsid w:val="00D91FE1"/>
    <w:rsid w:val="00D92CE5"/>
    <w:rsid w:val="00D930F5"/>
    <w:rsid w:val="00D93BB7"/>
    <w:rsid w:val="00D93E58"/>
    <w:rsid w:val="00D940F4"/>
    <w:rsid w:val="00D94165"/>
    <w:rsid w:val="00D943BE"/>
    <w:rsid w:val="00D94466"/>
    <w:rsid w:val="00D948C5"/>
    <w:rsid w:val="00D95810"/>
    <w:rsid w:val="00D95856"/>
    <w:rsid w:val="00D95AD9"/>
    <w:rsid w:val="00D960A8"/>
    <w:rsid w:val="00D9635B"/>
    <w:rsid w:val="00D966AB"/>
    <w:rsid w:val="00D97564"/>
    <w:rsid w:val="00D97664"/>
    <w:rsid w:val="00D9772A"/>
    <w:rsid w:val="00D97F41"/>
    <w:rsid w:val="00DA010C"/>
    <w:rsid w:val="00DA07A5"/>
    <w:rsid w:val="00DA0946"/>
    <w:rsid w:val="00DA0DB4"/>
    <w:rsid w:val="00DA182B"/>
    <w:rsid w:val="00DA1B8B"/>
    <w:rsid w:val="00DA2617"/>
    <w:rsid w:val="00DA2BB8"/>
    <w:rsid w:val="00DA30A0"/>
    <w:rsid w:val="00DA3B74"/>
    <w:rsid w:val="00DA484E"/>
    <w:rsid w:val="00DA5735"/>
    <w:rsid w:val="00DA58B3"/>
    <w:rsid w:val="00DA5EEB"/>
    <w:rsid w:val="00DA6296"/>
    <w:rsid w:val="00DA6686"/>
    <w:rsid w:val="00DA6BD6"/>
    <w:rsid w:val="00DA6D8F"/>
    <w:rsid w:val="00DA788A"/>
    <w:rsid w:val="00DA7B58"/>
    <w:rsid w:val="00DA7BE1"/>
    <w:rsid w:val="00DA7ED3"/>
    <w:rsid w:val="00DB03B0"/>
    <w:rsid w:val="00DB0858"/>
    <w:rsid w:val="00DB1348"/>
    <w:rsid w:val="00DB1474"/>
    <w:rsid w:val="00DB1A20"/>
    <w:rsid w:val="00DB1E84"/>
    <w:rsid w:val="00DB249B"/>
    <w:rsid w:val="00DB26BC"/>
    <w:rsid w:val="00DB28A8"/>
    <w:rsid w:val="00DB29CD"/>
    <w:rsid w:val="00DB2C50"/>
    <w:rsid w:val="00DB3332"/>
    <w:rsid w:val="00DB3882"/>
    <w:rsid w:val="00DB393A"/>
    <w:rsid w:val="00DB4398"/>
    <w:rsid w:val="00DB4BC8"/>
    <w:rsid w:val="00DB4C99"/>
    <w:rsid w:val="00DB4CD6"/>
    <w:rsid w:val="00DB512F"/>
    <w:rsid w:val="00DB5FB2"/>
    <w:rsid w:val="00DB6932"/>
    <w:rsid w:val="00DB69E5"/>
    <w:rsid w:val="00DB6B3A"/>
    <w:rsid w:val="00DB6C99"/>
    <w:rsid w:val="00DB706A"/>
    <w:rsid w:val="00DB73A8"/>
    <w:rsid w:val="00DC04D5"/>
    <w:rsid w:val="00DC1260"/>
    <w:rsid w:val="00DC1E6B"/>
    <w:rsid w:val="00DC1F71"/>
    <w:rsid w:val="00DC2A15"/>
    <w:rsid w:val="00DC2F43"/>
    <w:rsid w:val="00DC31DE"/>
    <w:rsid w:val="00DC3B56"/>
    <w:rsid w:val="00DC41F7"/>
    <w:rsid w:val="00DC4968"/>
    <w:rsid w:val="00DC521A"/>
    <w:rsid w:val="00DC5933"/>
    <w:rsid w:val="00DC5A63"/>
    <w:rsid w:val="00DC6F09"/>
    <w:rsid w:val="00DC7041"/>
    <w:rsid w:val="00DC7F01"/>
    <w:rsid w:val="00DC7FAB"/>
    <w:rsid w:val="00DD00DC"/>
    <w:rsid w:val="00DD080A"/>
    <w:rsid w:val="00DD1300"/>
    <w:rsid w:val="00DD182B"/>
    <w:rsid w:val="00DD203B"/>
    <w:rsid w:val="00DD245C"/>
    <w:rsid w:val="00DD2673"/>
    <w:rsid w:val="00DD296B"/>
    <w:rsid w:val="00DD2F35"/>
    <w:rsid w:val="00DD3B0D"/>
    <w:rsid w:val="00DD4492"/>
    <w:rsid w:val="00DD4A4B"/>
    <w:rsid w:val="00DD5222"/>
    <w:rsid w:val="00DD5A80"/>
    <w:rsid w:val="00DD5A87"/>
    <w:rsid w:val="00DD6839"/>
    <w:rsid w:val="00DD75FA"/>
    <w:rsid w:val="00DD7874"/>
    <w:rsid w:val="00DD7A29"/>
    <w:rsid w:val="00DE02BA"/>
    <w:rsid w:val="00DE0620"/>
    <w:rsid w:val="00DE0FD5"/>
    <w:rsid w:val="00DE108F"/>
    <w:rsid w:val="00DE11CF"/>
    <w:rsid w:val="00DE13DC"/>
    <w:rsid w:val="00DE1DD9"/>
    <w:rsid w:val="00DE1ED4"/>
    <w:rsid w:val="00DE21BD"/>
    <w:rsid w:val="00DE22E3"/>
    <w:rsid w:val="00DE278B"/>
    <w:rsid w:val="00DE2E0D"/>
    <w:rsid w:val="00DE2EDF"/>
    <w:rsid w:val="00DE32FB"/>
    <w:rsid w:val="00DE3EC4"/>
    <w:rsid w:val="00DE4163"/>
    <w:rsid w:val="00DE48FA"/>
    <w:rsid w:val="00DE4F0D"/>
    <w:rsid w:val="00DE4F99"/>
    <w:rsid w:val="00DE51BB"/>
    <w:rsid w:val="00DE525A"/>
    <w:rsid w:val="00DE557A"/>
    <w:rsid w:val="00DE5F5E"/>
    <w:rsid w:val="00DE60B8"/>
    <w:rsid w:val="00DE636B"/>
    <w:rsid w:val="00DE6AAF"/>
    <w:rsid w:val="00DE6F50"/>
    <w:rsid w:val="00DE7746"/>
    <w:rsid w:val="00DF0840"/>
    <w:rsid w:val="00DF25C4"/>
    <w:rsid w:val="00DF2700"/>
    <w:rsid w:val="00DF354E"/>
    <w:rsid w:val="00DF3A22"/>
    <w:rsid w:val="00DF4F57"/>
    <w:rsid w:val="00DF56D8"/>
    <w:rsid w:val="00DF5936"/>
    <w:rsid w:val="00DF5D85"/>
    <w:rsid w:val="00DF6F74"/>
    <w:rsid w:val="00DF756C"/>
    <w:rsid w:val="00DF76FE"/>
    <w:rsid w:val="00DF782E"/>
    <w:rsid w:val="00E002AB"/>
    <w:rsid w:val="00E0036B"/>
    <w:rsid w:val="00E00C55"/>
    <w:rsid w:val="00E012DD"/>
    <w:rsid w:val="00E02001"/>
    <w:rsid w:val="00E021CE"/>
    <w:rsid w:val="00E03584"/>
    <w:rsid w:val="00E03B98"/>
    <w:rsid w:val="00E03D0F"/>
    <w:rsid w:val="00E03EB6"/>
    <w:rsid w:val="00E044EE"/>
    <w:rsid w:val="00E0461C"/>
    <w:rsid w:val="00E04963"/>
    <w:rsid w:val="00E04CE2"/>
    <w:rsid w:val="00E04FDF"/>
    <w:rsid w:val="00E051A4"/>
    <w:rsid w:val="00E05868"/>
    <w:rsid w:val="00E05C61"/>
    <w:rsid w:val="00E05F0F"/>
    <w:rsid w:val="00E05F18"/>
    <w:rsid w:val="00E06535"/>
    <w:rsid w:val="00E066A6"/>
    <w:rsid w:val="00E0743E"/>
    <w:rsid w:val="00E07760"/>
    <w:rsid w:val="00E07969"/>
    <w:rsid w:val="00E07D09"/>
    <w:rsid w:val="00E10257"/>
    <w:rsid w:val="00E1072B"/>
    <w:rsid w:val="00E10982"/>
    <w:rsid w:val="00E11142"/>
    <w:rsid w:val="00E116BF"/>
    <w:rsid w:val="00E12AD7"/>
    <w:rsid w:val="00E139E9"/>
    <w:rsid w:val="00E13E63"/>
    <w:rsid w:val="00E14430"/>
    <w:rsid w:val="00E14966"/>
    <w:rsid w:val="00E15B41"/>
    <w:rsid w:val="00E16010"/>
    <w:rsid w:val="00E16279"/>
    <w:rsid w:val="00E16286"/>
    <w:rsid w:val="00E163B8"/>
    <w:rsid w:val="00E163BD"/>
    <w:rsid w:val="00E16630"/>
    <w:rsid w:val="00E16BEB"/>
    <w:rsid w:val="00E16D00"/>
    <w:rsid w:val="00E1726A"/>
    <w:rsid w:val="00E17702"/>
    <w:rsid w:val="00E201A0"/>
    <w:rsid w:val="00E2098D"/>
    <w:rsid w:val="00E20A1C"/>
    <w:rsid w:val="00E20E70"/>
    <w:rsid w:val="00E21146"/>
    <w:rsid w:val="00E215F4"/>
    <w:rsid w:val="00E21ED8"/>
    <w:rsid w:val="00E22DCC"/>
    <w:rsid w:val="00E237EA"/>
    <w:rsid w:val="00E24130"/>
    <w:rsid w:val="00E242B4"/>
    <w:rsid w:val="00E242ED"/>
    <w:rsid w:val="00E24781"/>
    <w:rsid w:val="00E24C7A"/>
    <w:rsid w:val="00E268CF"/>
    <w:rsid w:val="00E26A6C"/>
    <w:rsid w:val="00E26E9D"/>
    <w:rsid w:val="00E27CA1"/>
    <w:rsid w:val="00E27D0B"/>
    <w:rsid w:val="00E27D5A"/>
    <w:rsid w:val="00E27EB0"/>
    <w:rsid w:val="00E3053D"/>
    <w:rsid w:val="00E30952"/>
    <w:rsid w:val="00E30AEF"/>
    <w:rsid w:val="00E30CDF"/>
    <w:rsid w:val="00E30D04"/>
    <w:rsid w:val="00E3134C"/>
    <w:rsid w:val="00E31514"/>
    <w:rsid w:val="00E316AD"/>
    <w:rsid w:val="00E32840"/>
    <w:rsid w:val="00E32CE8"/>
    <w:rsid w:val="00E336D6"/>
    <w:rsid w:val="00E338E3"/>
    <w:rsid w:val="00E33D0F"/>
    <w:rsid w:val="00E342F9"/>
    <w:rsid w:val="00E343A5"/>
    <w:rsid w:val="00E35503"/>
    <w:rsid w:val="00E35764"/>
    <w:rsid w:val="00E36226"/>
    <w:rsid w:val="00E3677A"/>
    <w:rsid w:val="00E37540"/>
    <w:rsid w:val="00E377EE"/>
    <w:rsid w:val="00E37AFE"/>
    <w:rsid w:val="00E37F52"/>
    <w:rsid w:val="00E37FC7"/>
    <w:rsid w:val="00E4054C"/>
    <w:rsid w:val="00E4086A"/>
    <w:rsid w:val="00E40EDF"/>
    <w:rsid w:val="00E4145A"/>
    <w:rsid w:val="00E416C5"/>
    <w:rsid w:val="00E41DF9"/>
    <w:rsid w:val="00E42259"/>
    <w:rsid w:val="00E4270F"/>
    <w:rsid w:val="00E42B2C"/>
    <w:rsid w:val="00E439BA"/>
    <w:rsid w:val="00E43A58"/>
    <w:rsid w:val="00E44A30"/>
    <w:rsid w:val="00E451CB"/>
    <w:rsid w:val="00E45A1B"/>
    <w:rsid w:val="00E45AAE"/>
    <w:rsid w:val="00E45ADC"/>
    <w:rsid w:val="00E4697E"/>
    <w:rsid w:val="00E46B31"/>
    <w:rsid w:val="00E46B62"/>
    <w:rsid w:val="00E46CE6"/>
    <w:rsid w:val="00E46E10"/>
    <w:rsid w:val="00E47011"/>
    <w:rsid w:val="00E4775A"/>
    <w:rsid w:val="00E47929"/>
    <w:rsid w:val="00E47BE7"/>
    <w:rsid w:val="00E47CF6"/>
    <w:rsid w:val="00E50612"/>
    <w:rsid w:val="00E50C34"/>
    <w:rsid w:val="00E51A00"/>
    <w:rsid w:val="00E51B43"/>
    <w:rsid w:val="00E51BC9"/>
    <w:rsid w:val="00E51CB8"/>
    <w:rsid w:val="00E524EC"/>
    <w:rsid w:val="00E52701"/>
    <w:rsid w:val="00E52946"/>
    <w:rsid w:val="00E531A9"/>
    <w:rsid w:val="00E53CFB"/>
    <w:rsid w:val="00E53E48"/>
    <w:rsid w:val="00E53E62"/>
    <w:rsid w:val="00E53F41"/>
    <w:rsid w:val="00E55ACA"/>
    <w:rsid w:val="00E57B25"/>
    <w:rsid w:val="00E57CDA"/>
    <w:rsid w:val="00E602DA"/>
    <w:rsid w:val="00E605BC"/>
    <w:rsid w:val="00E60672"/>
    <w:rsid w:val="00E6072D"/>
    <w:rsid w:val="00E60839"/>
    <w:rsid w:val="00E60942"/>
    <w:rsid w:val="00E60E26"/>
    <w:rsid w:val="00E61658"/>
    <w:rsid w:val="00E617DE"/>
    <w:rsid w:val="00E61954"/>
    <w:rsid w:val="00E61C21"/>
    <w:rsid w:val="00E61CC1"/>
    <w:rsid w:val="00E6274A"/>
    <w:rsid w:val="00E62C77"/>
    <w:rsid w:val="00E62F1C"/>
    <w:rsid w:val="00E632B4"/>
    <w:rsid w:val="00E633F4"/>
    <w:rsid w:val="00E6363A"/>
    <w:rsid w:val="00E63A7B"/>
    <w:rsid w:val="00E63B60"/>
    <w:rsid w:val="00E63E2A"/>
    <w:rsid w:val="00E6481B"/>
    <w:rsid w:val="00E65502"/>
    <w:rsid w:val="00E65669"/>
    <w:rsid w:val="00E65BF4"/>
    <w:rsid w:val="00E66186"/>
    <w:rsid w:val="00E66446"/>
    <w:rsid w:val="00E668C4"/>
    <w:rsid w:val="00E66AD0"/>
    <w:rsid w:val="00E66B57"/>
    <w:rsid w:val="00E66C10"/>
    <w:rsid w:val="00E66D18"/>
    <w:rsid w:val="00E676A8"/>
    <w:rsid w:val="00E67BAD"/>
    <w:rsid w:val="00E67F88"/>
    <w:rsid w:val="00E70065"/>
    <w:rsid w:val="00E70104"/>
    <w:rsid w:val="00E70529"/>
    <w:rsid w:val="00E70F6D"/>
    <w:rsid w:val="00E718EC"/>
    <w:rsid w:val="00E71A25"/>
    <w:rsid w:val="00E726E5"/>
    <w:rsid w:val="00E72839"/>
    <w:rsid w:val="00E72F09"/>
    <w:rsid w:val="00E732C6"/>
    <w:rsid w:val="00E7374F"/>
    <w:rsid w:val="00E738D5"/>
    <w:rsid w:val="00E74049"/>
    <w:rsid w:val="00E74127"/>
    <w:rsid w:val="00E74570"/>
    <w:rsid w:val="00E746AD"/>
    <w:rsid w:val="00E74AB5"/>
    <w:rsid w:val="00E74B0B"/>
    <w:rsid w:val="00E75112"/>
    <w:rsid w:val="00E75696"/>
    <w:rsid w:val="00E7572B"/>
    <w:rsid w:val="00E75BCA"/>
    <w:rsid w:val="00E75DFB"/>
    <w:rsid w:val="00E76082"/>
    <w:rsid w:val="00E76558"/>
    <w:rsid w:val="00E771EA"/>
    <w:rsid w:val="00E7750D"/>
    <w:rsid w:val="00E77E9B"/>
    <w:rsid w:val="00E802A4"/>
    <w:rsid w:val="00E80405"/>
    <w:rsid w:val="00E80BDB"/>
    <w:rsid w:val="00E825E9"/>
    <w:rsid w:val="00E82C5C"/>
    <w:rsid w:val="00E83785"/>
    <w:rsid w:val="00E8381A"/>
    <w:rsid w:val="00E838A8"/>
    <w:rsid w:val="00E83C1C"/>
    <w:rsid w:val="00E83E3B"/>
    <w:rsid w:val="00E83E3D"/>
    <w:rsid w:val="00E83E89"/>
    <w:rsid w:val="00E842BE"/>
    <w:rsid w:val="00E8540A"/>
    <w:rsid w:val="00E85AC8"/>
    <w:rsid w:val="00E860C8"/>
    <w:rsid w:val="00E86759"/>
    <w:rsid w:val="00E873E3"/>
    <w:rsid w:val="00E87410"/>
    <w:rsid w:val="00E874BD"/>
    <w:rsid w:val="00E87824"/>
    <w:rsid w:val="00E90103"/>
    <w:rsid w:val="00E90131"/>
    <w:rsid w:val="00E918B4"/>
    <w:rsid w:val="00E923A1"/>
    <w:rsid w:val="00E9256F"/>
    <w:rsid w:val="00E92655"/>
    <w:rsid w:val="00E927F2"/>
    <w:rsid w:val="00E93638"/>
    <w:rsid w:val="00E93F7A"/>
    <w:rsid w:val="00E94350"/>
    <w:rsid w:val="00E94B3A"/>
    <w:rsid w:val="00E95B0D"/>
    <w:rsid w:val="00E969DE"/>
    <w:rsid w:val="00E977A8"/>
    <w:rsid w:val="00E978C1"/>
    <w:rsid w:val="00E97E41"/>
    <w:rsid w:val="00E97EE6"/>
    <w:rsid w:val="00E97FF1"/>
    <w:rsid w:val="00EA0881"/>
    <w:rsid w:val="00EA0C9B"/>
    <w:rsid w:val="00EA336D"/>
    <w:rsid w:val="00EA3528"/>
    <w:rsid w:val="00EA3A44"/>
    <w:rsid w:val="00EA3ACF"/>
    <w:rsid w:val="00EA4404"/>
    <w:rsid w:val="00EA4D4A"/>
    <w:rsid w:val="00EA4E48"/>
    <w:rsid w:val="00EA56BA"/>
    <w:rsid w:val="00EA57C6"/>
    <w:rsid w:val="00EA5DC4"/>
    <w:rsid w:val="00EA6336"/>
    <w:rsid w:val="00EA63FA"/>
    <w:rsid w:val="00EA64B8"/>
    <w:rsid w:val="00EA7A18"/>
    <w:rsid w:val="00EB011E"/>
    <w:rsid w:val="00EB0676"/>
    <w:rsid w:val="00EB1395"/>
    <w:rsid w:val="00EB1C59"/>
    <w:rsid w:val="00EB1C66"/>
    <w:rsid w:val="00EB1E28"/>
    <w:rsid w:val="00EB2670"/>
    <w:rsid w:val="00EB3863"/>
    <w:rsid w:val="00EB3B1B"/>
    <w:rsid w:val="00EB4052"/>
    <w:rsid w:val="00EB4055"/>
    <w:rsid w:val="00EB4214"/>
    <w:rsid w:val="00EB4320"/>
    <w:rsid w:val="00EB4B90"/>
    <w:rsid w:val="00EB5176"/>
    <w:rsid w:val="00EB51E9"/>
    <w:rsid w:val="00EB615B"/>
    <w:rsid w:val="00EB6288"/>
    <w:rsid w:val="00EB6323"/>
    <w:rsid w:val="00EB65D5"/>
    <w:rsid w:val="00EB672F"/>
    <w:rsid w:val="00EB70DD"/>
    <w:rsid w:val="00EB7514"/>
    <w:rsid w:val="00EB78B5"/>
    <w:rsid w:val="00EB7C1C"/>
    <w:rsid w:val="00EB7F01"/>
    <w:rsid w:val="00EC00E5"/>
    <w:rsid w:val="00EC11CE"/>
    <w:rsid w:val="00EC1317"/>
    <w:rsid w:val="00EC13D8"/>
    <w:rsid w:val="00EC1E54"/>
    <w:rsid w:val="00EC2280"/>
    <w:rsid w:val="00EC2AB1"/>
    <w:rsid w:val="00EC3DD5"/>
    <w:rsid w:val="00EC418D"/>
    <w:rsid w:val="00EC4231"/>
    <w:rsid w:val="00EC4A3E"/>
    <w:rsid w:val="00EC4DA1"/>
    <w:rsid w:val="00EC4EFA"/>
    <w:rsid w:val="00EC5600"/>
    <w:rsid w:val="00EC60D1"/>
    <w:rsid w:val="00EC63F2"/>
    <w:rsid w:val="00EC778E"/>
    <w:rsid w:val="00EC7E0C"/>
    <w:rsid w:val="00ED0741"/>
    <w:rsid w:val="00ED12A1"/>
    <w:rsid w:val="00ED2084"/>
    <w:rsid w:val="00ED27FB"/>
    <w:rsid w:val="00ED2960"/>
    <w:rsid w:val="00ED2B85"/>
    <w:rsid w:val="00ED2BCA"/>
    <w:rsid w:val="00ED30CB"/>
    <w:rsid w:val="00ED3992"/>
    <w:rsid w:val="00ED3B5B"/>
    <w:rsid w:val="00ED3E23"/>
    <w:rsid w:val="00ED4120"/>
    <w:rsid w:val="00ED47F9"/>
    <w:rsid w:val="00ED4DFF"/>
    <w:rsid w:val="00ED4F21"/>
    <w:rsid w:val="00ED52B0"/>
    <w:rsid w:val="00ED5D6D"/>
    <w:rsid w:val="00ED5EC2"/>
    <w:rsid w:val="00ED7288"/>
    <w:rsid w:val="00ED77CB"/>
    <w:rsid w:val="00ED7AD2"/>
    <w:rsid w:val="00EE0095"/>
    <w:rsid w:val="00EE09FF"/>
    <w:rsid w:val="00EE1280"/>
    <w:rsid w:val="00EE13A7"/>
    <w:rsid w:val="00EE1AAB"/>
    <w:rsid w:val="00EE2904"/>
    <w:rsid w:val="00EE2982"/>
    <w:rsid w:val="00EE2C67"/>
    <w:rsid w:val="00EE3106"/>
    <w:rsid w:val="00EE32B8"/>
    <w:rsid w:val="00EE3840"/>
    <w:rsid w:val="00EE387E"/>
    <w:rsid w:val="00EE3D39"/>
    <w:rsid w:val="00EE453B"/>
    <w:rsid w:val="00EE45C4"/>
    <w:rsid w:val="00EE4DAA"/>
    <w:rsid w:val="00EE4F35"/>
    <w:rsid w:val="00EE5734"/>
    <w:rsid w:val="00EE591F"/>
    <w:rsid w:val="00EE5AEC"/>
    <w:rsid w:val="00EE5EA9"/>
    <w:rsid w:val="00EE6BE7"/>
    <w:rsid w:val="00EE6E98"/>
    <w:rsid w:val="00EE73F3"/>
    <w:rsid w:val="00EE7805"/>
    <w:rsid w:val="00EF09D8"/>
    <w:rsid w:val="00EF0DD2"/>
    <w:rsid w:val="00EF0E2F"/>
    <w:rsid w:val="00EF10F4"/>
    <w:rsid w:val="00EF13B8"/>
    <w:rsid w:val="00EF15AF"/>
    <w:rsid w:val="00EF18CA"/>
    <w:rsid w:val="00EF19E3"/>
    <w:rsid w:val="00EF240C"/>
    <w:rsid w:val="00EF2504"/>
    <w:rsid w:val="00EF2B96"/>
    <w:rsid w:val="00EF339B"/>
    <w:rsid w:val="00EF34A8"/>
    <w:rsid w:val="00EF5487"/>
    <w:rsid w:val="00EF590E"/>
    <w:rsid w:val="00EF5E52"/>
    <w:rsid w:val="00EF5E95"/>
    <w:rsid w:val="00EF6327"/>
    <w:rsid w:val="00EF66CC"/>
    <w:rsid w:val="00EF6B18"/>
    <w:rsid w:val="00EF7286"/>
    <w:rsid w:val="00EF729E"/>
    <w:rsid w:val="00EF7755"/>
    <w:rsid w:val="00F0072A"/>
    <w:rsid w:val="00F008E7"/>
    <w:rsid w:val="00F00C87"/>
    <w:rsid w:val="00F00E4D"/>
    <w:rsid w:val="00F00E66"/>
    <w:rsid w:val="00F0100C"/>
    <w:rsid w:val="00F01085"/>
    <w:rsid w:val="00F01A4D"/>
    <w:rsid w:val="00F020D1"/>
    <w:rsid w:val="00F02311"/>
    <w:rsid w:val="00F025E7"/>
    <w:rsid w:val="00F028B1"/>
    <w:rsid w:val="00F0335F"/>
    <w:rsid w:val="00F0336F"/>
    <w:rsid w:val="00F0359F"/>
    <w:rsid w:val="00F03829"/>
    <w:rsid w:val="00F0438F"/>
    <w:rsid w:val="00F044C4"/>
    <w:rsid w:val="00F04C25"/>
    <w:rsid w:val="00F053D2"/>
    <w:rsid w:val="00F05C6F"/>
    <w:rsid w:val="00F05CFB"/>
    <w:rsid w:val="00F05D9A"/>
    <w:rsid w:val="00F06589"/>
    <w:rsid w:val="00F06B2D"/>
    <w:rsid w:val="00F07083"/>
    <w:rsid w:val="00F0709E"/>
    <w:rsid w:val="00F0754F"/>
    <w:rsid w:val="00F07B0B"/>
    <w:rsid w:val="00F07B83"/>
    <w:rsid w:val="00F10037"/>
    <w:rsid w:val="00F101AE"/>
    <w:rsid w:val="00F10363"/>
    <w:rsid w:val="00F10402"/>
    <w:rsid w:val="00F10A4A"/>
    <w:rsid w:val="00F10B5E"/>
    <w:rsid w:val="00F11A89"/>
    <w:rsid w:val="00F121BA"/>
    <w:rsid w:val="00F1226A"/>
    <w:rsid w:val="00F12B2F"/>
    <w:rsid w:val="00F1320C"/>
    <w:rsid w:val="00F139A4"/>
    <w:rsid w:val="00F1428D"/>
    <w:rsid w:val="00F14C31"/>
    <w:rsid w:val="00F14FFB"/>
    <w:rsid w:val="00F1521B"/>
    <w:rsid w:val="00F152D2"/>
    <w:rsid w:val="00F156C5"/>
    <w:rsid w:val="00F15A9F"/>
    <w:rsid w:val="00F16092"/>
    <w:rsid w:val="00F164B5"/>
    <w:rsid w:val="00F16F79"/>
    <w:rsid w:val="00F16FE3"/>
    <w:rsid w:val="00F172B3"/>
    <w:rsid w:val="00F178EC"/>
    <w:rsid w:val="00F17904"/>
    <w:rsid w:val="00F17985"/>
    <w:rsid w:val="00F20459"/>
    <w:rsid w:val="00F20E45"/>
    <w:rsid w:val="00F21073"/>
    <w:rsid w:val="00F222DA"/>
    <w:rsid w:val="00F22CBC"/>
    <w:rsid w:val="00F23BB2"/>
    <w:rsid w:val="00F23D57"/>
    <w:rsid w:val="00F2553E"/>
    <w:rsid w:val="00F2559E"/>
    <w:rsid w:val="00F25C73"/>
    <w:rsid w:val="00F2612E"/>
    <w:rsid w:val="00F269D6"/>
    <w:rsid w:val="00F26B0C"/>
    <w:rsid w:val="00F26E8E"/>
    <w:rsid w:val="00F26EBF"/>
    <w:rsid w:val="00F2714B"/>
    <w:rsid w:val="00F27426"/>
    <w:rsid w:val="00F27451"/>
    <w:rsid w:val="00F27752"/>
    <w:rsid w:val="00F2780F"/>
    <w:rsid w:val="00F278E6"/>
    <w:rsid w:val="00F27C4D"/>
    <w:rsid w:val="00F30274"/>
    <w:rsid w:val="00F302F8"/>
    <w:rsid w:val="00F30BE9"/>
    <w:rsid w:val="00F30ECC"/>
    <w:rsid w:val="00F31E1E"/>
    <w:rsid w:val="00F31E4B"/>
    <w:rsid w:val="00F329B6"/>
    <w:rsid w:val="00F32BFA"/>
    <w:rsid w:val="00F3346E"/>
    <w:rsid w:val="00F335D5"/>
    <w:rsid w:val="00F3392F"/>
    <w:rsid w:val="00F3427E"/>
    <w:rsid w:val="00F342A7"/>
    <w:rsid w:val="00F34935"/>
    <w:rsid w:val="00F34C4F"/>
    <w:rsid w:val="00F359FC"/>
    <w:rsid w:val="00F36911"/>
    <w:rsid w:val="00F369A7"/>
    <w:rsid w:val="00F36E98"/>
    <w:rsid w:val="00F37366"/>
    <w:rsid w:val="00F406D5"/>
    <w:rsid w:val="00F40710"/>
    <w:rsid w:val="00F40A20"/>
    <w:rsid w:val="00F41BBB"/>
    <w:rsid w:val="00F41DDF"/>
    <w:rsid w:val="00F42297"/>
    <w:rsid w:val="00F42AF5"/>
    <w:rsid w:val="00F42B2B"/>
    <w:rsid w:val="00F42C46"/>
    <w:rsid w:val="00F43280"/>
    <w:rsid w:val="00F434C2"/>
    <w:rsid w:val="00F43BB4"/>
    <w:rsid w:val="00F440A1"/>
    <w:rsid w:val="00F440C1"/>
    <w:rsid w:val="00F442C7"/>
    <w:rsid w:val="00F449E3"/>
    <w:rsid w:val="00F45623"/>
    <w:rsid w:val="00F45757"/>
    <w:rsid w:val="00F45BC3"/>
    <w:rsid w:val="00F46265"/>
    <w:rsid w:val="00F465D7"/>
    <w:rsid w:val="00F4664E"/>
    <w:rsid w:val="00F46A80"/>
    <w:rsid w:val="00F46EA6"/>
    <w:rsid w:val="00F47224"/>
    <w:rsid w:val="00F47843"/>
    <w:rsid w:val="00F478D8"/>
    <w:rsid w:val="00F4798B"/>
    <w:rsid w:val="00F5020D"/>
    <w:rsid w:val="00F503ED"/>
    <w:rsid w:val="00F5140B"/>
    <w:rsid w:val="00F51BED"/>
    <w:rsid w:val="00F51EAA"/>
    <w:rsid w:val="00F532BB"/>
    <w:rsid w:val="00F538CE"/>
    <w:rsid w:val="00F53987"/>
    <w:rsid w:val="00F54270"/>
    <w:rsid w:val="00F54649"/>
    <w:rsid w:val="00F54779"/>
    <w:rsid w:val="00F54888"/>
    <w:rsid w:val="00F54D14"/>
    <w:rsid w:val="00F54E66"/>
    <w:rsid w:val="00F55B7F"/>
    <w:rsid w:val="00F55BAF"/>
    <w:rsid w:val="00F5690C"/>
    <w:rsid w:val="00F56C09"/>
    <w:rsid w:val="00F575D6"/>
    <w:rsid w:val="00F5760B"/>
    <w:rsid w:val="00F6013C"/>
    <w:rsid w:val="00F603F9"/>
    <w:rsid w:val="00F60550"/>
    <w:rsid w:val="00F607A3"/>
    <w:rsid w:val="00F609D8"/>
    <w:rsid w:val="00F60DF0"/>
    <w:rsid w:val="00F60EFD"/>
    <w:rsid w:val="00F61308"/>
    <w:rsid w:val="00F61470"/>
    <w:rsid w:val="00F61F25"/>
    <w:rsid w:val="00F62431"/>
    <w:rsid w:val="00F62E01"/>
    <w:rsid w:val="00F632CA"/>
    <w:rsid w:val="00F63379"/>
    <w:rsid w:val="00F63ADE"/>
    <w:rsid w:val="00F63CB1"/>
    <w:rsid w:val="00F64167"/>
    <w:rsid w:val="00F645A1"/>
    <w:rsid w:val="00F6496B"/>
    <w:rsid w:val="00F6588A"/>
    <w:rsid w:val="00F65F60"/>
    <w:rsid w:val="00F662E2"/>
    <w:rsid w:val="00F6723B"/>
    <w:rsid w:val="00F67806"/>
    <w:rsid w:val="00F67A85"/>
    <w:rsid w:val="00F67D6A"/>
    <w:rsid w:val="00F704E2"/>
    <w:rsid w:val="00F70EC1"/>
    <w:rsid w:val="00F71060"/>
    <w:rsid w:val="00F71E80"/>
    <w:rsid w:val="00F7223A"/>
    <w:rsid w:val="00F7274D"/>
    <w:rsid w:val="00F72BA7"/>
    <w:rsid w:val="00F72DFA"/>
    <w:rsid w:val="00F72F79"/>
    <w:rsid w:val="00F72F94"/>
    <w:rsid w:val="00F730C8"/>
    <w:rsid w:val="00F7353B"/>
    <w:rsid w:val="00F739FD"/>
    <w:rsid w:val="00F73DE6"/>
    <w:rsid w:val="00F744C1"/>
    <w:rsid w:val="00F74964"/>
    <w:rsid w:val="00F7541E"/>
    <w:rsid w:val="00F7569D"/>
    <w:rsid w:val="00F77279"/>
    <w:rsid w:val="00F776C1"/>
    <w:rsid w:val="00F77ACE"/>
    <w:rsid w:val="00F8019A"/>
    <w:rsid w:val="00F801E6"/>
    <w:rsid w:val="00F80444"/>
    <w:rsid w:val="00F8049B"/>
    <w:rsid w:val="00F80A51"/>
    <w:rsid w:val="00F81394"/>
    <w:rsid w:val="00F813F2"/>
    <w:rsid w:val="00F818A0"/>
    <w:rsid w:val="00F822D6"/>
    <w:rsid w:val="00F83321"/>
    <w:rsid w:val="00F83836"/>
    <w:rsid w:val="00F83DED"/>
    <w:rsid w:val="00F84887"/>
    <w:rsid w:val="00F859BC"/>
    <w:rsid w:val="00F8613C"/>
    <w:rsid w:val="00F8626E"/>
    <w:rsid w:val="00F8661D"/>
    <w:rsid w:val="00F86770"/>
    <w:rsid w:val="00F86B60"/>
    <w:rsid w:val="00F86CD9"/>
    <w:rsid w:val="00F87323"/>
    <w:rsid w:val="00F874BD"/>
    <w:rsid w:val="00F879FD"/>
    <w:rsid w:val="00F87AA4"/>
    <w:rsid w:val="00F87B79"/>
    <w:rsid w:val="00F91D2B"/>
    <w:rsid w:val="00F923F8"/>
    <w:rsid w:val="00F92ACC"/>
    <w:rsid w:val="00F92E76"/>
    <w:rsid w:val="00F92EFE"/>
    <w:rsid w:val="00F93691"/>
    <w:rsid w:val="00F9398E"/>
    <w:rsid w:val="00F93CF5"/>
    <w:rsid w:val="00F93DD6"/>
    <w:rsid w:val="00F9401C"/>
    <w:rsid w:val="00F94057"/>
    <w:rsid w:val="00F944F9"/>
    <w:rsid w:val="00F9492D"/>
    <w:rsid w:val="00F95E2E"/>
    <w:rsid w:val="00F9629E"/>
    <w:rsid w:val="00F9691F"/>
    <w:rsid w:val="00F96C84"/>
    <w:rsid w:val="00FA0164"/>
    <w:rsid w:val="00FA0721"/>
    <w:rsid w:val="00FA0A86"/>
    <w:rsid w:val="00FA0B0E"/>
    <w:rsid w:val="00FA0C41"/>
    <w:rsid w:val="00FA0C8A"/>
    <w:rsid w:val="00FA0DDD"/>
    <w:rsid w:val="00FA11A4"/>
    <w:rsid w:val="00FA20D4"/>
    <w:rsid w:val="00FA214D"/>
    <w:rsid w:val="00FA24BE"/>
    <w:rsid w:val="00FA2CE5"/>
    <w:rsid w:val="00FA3075"/>
    <w:rsid w:val="00FA313D"/>
    <w:rsid w:val="00FA4031"/>
    <w:rsid w:val="00FA4496"/>
    <w:rsid w:val="00FA4BB3"/>
    <w:rsid w:val="00FA58A0"/>
    <w:rsid w:val="00FA5A86"/>
    <w:rsid w:val="00FA5BA8"/>
    <w:rsid w:val="00FA6215"/>
    <w:rsid w:val="00FA6362"/>
    <w:rsid w:val="00FA67FF"/>
    <w:rsid w:val="00FA6A81"/>
    <w:rsid w:val="00FA6A86"/>
    <w:rsid w:val="00FA6F04"/>
    <w:rsid w:val="00FA71C1"/>
    <w:rsid w:val="00FA784B"/>
    <w:rsid w:val="00FA7989"/>
    <w:rsid w:val="00FA7C0A"/>
    <w:rsid w:val="00FA7DAD"/>
    <w:rsid w:val="00FB0050"/>
    <w:rsid w:val="00FB05BA"/>
    <w:rsid w:val="00FB07B3"/>
    <w:rsid w:val="00FB0817"/>
    <w:rsid w:val="00FB0DC7"/>
    <w:rsid w:val="00FB1576"/>
    <w:rsid w:val="00FB1595"/>
    <w:rsid w:val="00FB1D17"/>
    <w:rsid w:val="00FB1DD2"/>
    <w:rsid w:val="00FB25FE"/>
    <w:rsid w:val="00FB2A81"/>
    <w:rsid w:val="00FB2E91"/>
    <w:rsid w:val="00FB3322"/>
    <w:rsid w:val="00FB43A0"/>
    <w:rsid w:val="00FB4E40"/>
    <w:rsid w:val="00FB51A9"/>
    <w:rsid w:val="00FB5964"/>
    <w:rsid w:val="00FB5FA9"/>
    <w:rsid w:val="00FB610F"/>
    <w:rsid w:val="00FB61FA"/>
    <w:rsid w:val="00FB6348"/>
    <w:rsid w:val="00FB6605"/>
    <w:rsid w:val="00FB6A18"/>
    <w:rsid w:val="00FB6F9C"/>
    <w:rsid w:val="00FB73D4"/>
    <w:rsid w:val="00FB766D"/>
    <w:rsid w:val="00FB768F"/>
    <w:rsid w:val="00FC0622"/>
    <w:rsid w:val="00FC123E"/>
    <w:rsid w:val="00FC1B9E"/>
    <w:rsid w:val="00FC1F9C"/>
    <w:rsid w:val="00FC22FC"/>
    <w:rsid w:val="00FC2348"/>
    <w:rsid w:val="00FC2561"/>
    <w:rsid w:val="00FC2BE6"/>
    <w:rsid w:val="00FC3034"/>
    <w:rsid w:val="00FC3CD1"/>
    <w:rsid w:val="00FC4814"/>
    <w:rsid w:val="00FC4C3C"/>
    <w:rsid w:val="00FC55F6"/>
    <w:rsid w:val="00FC562A"/>
    <w:rsid w:val="00FC5778"/>
    <w:rsid w:val="00FC57E2"/>
    <w:rsid w:val="00FC5DA3"/>
    <w:rsid w:val="00FC6999"/>
    <w:rsid w:val="00FC73F3"/>
    <w:rsid w:val="00FC73FD"/>
    <w:rsid w:val="00FC7870"/>
    <w:rsid w:val="00FC7BEA"/>
    <w:rsid w:val="00FC7F61"/>
    <w:rsid w:val="00FC7F6A"/>
    <w:rsid w:val="00FD0179"/>
    <w:rsid w:val="00FD018C"/>
    <w:rsid w:val="00FD0FBE"/>
    <w:rsid w:val="00FD10F5"/>
    <w:rsid w:val="00FD1BAD"/>
    <w:rsid w:val="00FD1EC4"/>
    <w:rsid w:val="00FD2400"/>
    <w:rsid w:val="00FD2A82"/>
    <w:rsid w:val="00FD3E25"/>
    <w:rsid w:val="00FD5103"/>
    <w:rsid w:val="00FD6003"/>
    <w:rsid w:val="00FD664D"/>
    <w:rsid w:val="00FD6A6A"/>
    <w:rsid w:val="00FD6B00"/>
    <w:rsid w:val="00FD6BF9"/>
    <w:rsid w:val="00FD6F89"/>
    <w:rsid w:val="00FD7625"/>
    <w:rsid w:val="00FD78F5"/>
    <w:rsid w:val="00FD7A53"/>
    <w:rsid w:val="00FD7EE4"/>
    <w:rsid w:val="00FE02BA"/>
    <w:rsid w:val="00FE08D2"/>
    <w:rsid w:val="00FE093B"/>
    <w:rsid w:val="00FE0A71"/>
    <w:rsid w:val="00FE0B16"/>
    <w:rsid w:val="00FE0B5C"/>
    <w:rsid w:val="00FE168A"/>
    <w:rsid w:val="00FE17F0"/>
    <w:rsid w:val="00FE1CB9"/>
    <w:rsid w:val="00FE1CBA"/>
    <w:rsid w:val="00FE2653"/>
    <w:rsid w:val="00FE2AE9"/>
    <w:rsid w:val="00FE326A"/>
    <w:rsid w:val="00FE3621"/>
    <w:rsid w:val="00FE37D4"/>
    <w:rsid w:val="00FE3E40"/>
    <w:rsid w:val="00FE438A"/>
    <w:rsid w:val="00FE483B"/>
    <w:rsid w:val="00FE4B43"/>
    <w:rsid w:val="00FE4C73"/>
    <w:rsid w:val="00FE5003"/>
    <w:rsid w:val="00FE56F3"/>
    <w:rsid w:val="00FE56FA"/>
    <w:rsid w:val="00FE6728"/>
    <w:rsid w:val="00FE6833"/>
    <w:rsid w:val="00FE6B39"/>
    <w:rsid w:val="00FE6EC6"/>
    <w:rsid w:val="00FE70BE"/>
    <w:rsid w:val="00FE7177"/>
    <w:rsid w:val="00FE7B75"/>
    <w:rsid w:val="00FF0373"/>
    <w:rsid w:val="00FF1346"/>
    <w:rsid w:val="00FF16F4"/>
    <w:rsid w:val="00FF1C93"/>
    <w:rsid w:val="00FF2289"/>
    <w:rsid w:val="00FF2B04"/>
    <w:rsid w:val="00FF2B08"/>
    <w:rsid w:val="00FF2B1F"/>
    <w:rsid w:val="00FF2E30"/>
    <w:rsid w:val="00FF2EEB"/>
    <w:rsid w:val="00FF44F7"/>
    <w:rsid w:val="00FF4919"/>
    <w:rsid w:val="00FF5D62"/>
    <w:rsid w:val="00FF6706"/>
    <w:rsid w:val="00FF7458"/>
    <w:rsid w:val="00FF76DE"/>
    <w:rsid w:val="00FF7791"/>
    <w:rsid w:val="00FF7B9E"/>
    <w:rsid w:val="0131E6E3"/>
    <w:rsid w:val="01E5FBB2"/>
    <w:rsid w:val="03BDF4AB"/>
    <w:rsid w:val="03D58971"/>
    <w:rsid w:val="03F53FE7"/>
    <w:rsid w:val="03F7B91E"/>
    <w:rsid w:val="04195170"/>
    <w:rsid w:val="05531CAA"/>
    <w:rsid w:val="05F0759B"/>
    <w:rsid w:val="06618236"/>
    <w:rsid w:val="0876059E"/>
    <w:rsid w:val="09209350"/>
    <w:rsid w:val="092A86CC"/>
    <w:rsid w:val="09FBBA88"/>
    <w:rsid w:val="0B09705C"/>
    <w:rsid w:val="0B82E625"/>
    <w:rsid w:val="0B8DE150"/>
    <w:rsid w:val="0C4785DD"/>
    <w:rsid w:val="0F9D1522"/>
    <w:rsid w:val="0F9DABD1"/>
    <w:rsid w:val="0FF2D6AE"/>
    <w:rsid w:val="10879E6D"/>
    <w:rsid w:val="10C28530"/>
    <w:rsid w:val="10DDAC76"/>
    <w:rsid w:val="11DAF839"/>
    <w:rsid w:val="1296C8E0"/>
    <w:rsid w:val="132A7770"/>
    <w:rsid w:val="149829E9"/>
    <w:rsid w:val="14A9CFD0"/>
    <w:rsid w:val="14D8F181"/>
    <w:rsid w:val="14FB7A8A"/>
    <w:rsid w:val="150BAEFA"/>
    <w:rsid w:val="15DFC76D"/>
    <w:rsid w:val="16323022"/>
    <w:rsid w:val="174CAB3C"/>
    <w:rsid w:val="189176FD"/>
    <w:rsid w:val="18D2CC45"/>
    <w:rsid w:val="18F5897A"/>
    <w:rsid w:val="1A422270"/>
    <w:rsid w:val="1A54B1CE"/>
    <w:rsid w:val="1B358955"/>
    <w:rsid w:val="1C0F5277"/>
    <w:rsid w:val="1E051295"/>
    <w:rsid w:val="1E2A9DDA"/>
    <w:rsid w:val="1F0B72C8"/>
    <w:rsid w:val="1F5F7738"/>
    <w:rsid w:val="1F959687"/>
    <w:rsid w:val="201032E1"/>
    <w:rsid w:val="203119ED"/>
    <w:rsid w:val="20870C85"/>
    <w:rsid w:val="20B17B34"/>
    <w:rsid w:val="21496E14"/>
    <w:rsid w:val="21EC56CA"/>
    <w:rsid w:val="222DE418"/>
    <w:rsid w:val="22FDD44D"/>
    <w:rsid w:val="23279EA6"/>
    <w:rsid w:val="2344EE31"/>
    <w:rsid w:val="2377AC66"/>
    <w:rsid w:val="25E8E5DF"/>
    <w:rsid w:val="2620AAB0"/>
    <w:rsid w:val="264D1A12"/>
    <w:rsid w:val="26664F31"/>
    <w:rsid w:val="2840E2A1"/>
    <w:rsid w:val="29D81433"/>
    <w:rsid w:val="2A354C77"/>
    <w:rsid w:val="2A7E0A73"/>
    <w:rsid w:val="2A887093"/>
    <w:rsid w:val="2A9BB15C"/>
    <w:rsid w:val="2B9BCDF2"/>
    <w:rsid w:val="2C27DB4C"/>
    <w:rsid w:val="2CFB2B67"/>
    <w:rsid w:val="2E1114C3"/>
    <w:rsid w:val="2E37308E"/>
    <w:rsid w:val="2E5F0B38"/>
    <w:rsid w:val="2EE69731"/>
    <w:rsid w:val="2F379BCC"/>
    <w:rsid w:val="2FAF9C18"/>
    <w:rsid w:val="2FBAC66C"/>
    <w:rsid w:val="300A48DC"/>
    <w:rsid w:val="30223863"/>
    <w:rsid w:val="30A3F74C"/>
    <w:rsid w:val="31AE1F1A"/>
    <w:rsid w:val="31F8B079"/>
    <w:rsid w:val="326F3C8E"/>
    <w:rsid w:val="328BFF61"/>
    <w:rsid w:val="32B74977"/>
    <w:rsid w:val="331E1281"/>
    <w:rsid w:val="339480DA"/>
    <w:rsid w:val="33A27489"/>
    <w:rsid w:val="34614130"/>
    <w:rsid w:val="35063D4C"/>
    <w:rsid w:val="353E44EA"/>
    <w:rsid w:val="36504767"/>
    <w:rsid w:val="36CE7348"/>
    <w:rsid w:val="38F2D130"/>
    <w:rsid w:val="39065E54"/>
    <w:rsid w:val="390CB843"/>
    <w:rsid w:val="391CB7CD"/>
    <w:rsid w:val="39F84288"/>
    <w:rsid w:val="3A99CCC4"/>
    <w:rsid w:val="3B0295C3"/>
    <w:rsid w:val="3B593793"/>
    <w:rsid w:val="3C0CB7EE"/>
    <w:rsid w:val="3C445905"/>
    <w:rsid w:val="3D73673A"/>
    <w:rsid w:val="3DA378B3"/>
    <w:rsid w:val="3DA546EA"/>
    <w:rsid w:val="3F79573A"/>
    <w:rsid w:val="3FF30EA6"/>
    <w:rsid w:val="4074820E"/>
    <w:rsid w:val="40A8E28F"/>
    <w:rsid w:val="40C4BF90"/>
    <w:rsid w:val="41356E31"/>
    <w:rsid w:val="415B9227"/>
    <w:rsid w:val="421FD123"/>
    <w:rsid w:val="4550CC7D"/>
    <w:rsid w:val="46F5B137"/>
    <w:rsid w:val="47073856"/>
    <w:rsid w:val="47DAE16E"/>
    <w:rsid w:val="4855AFCE"/>
    <w:rsid w:val="492ED446"/>
    <w:rsid w:val="4955EBE2"/>
    <w:rsid w:val="499479B9"/>
    <w:rsid w:val="49C32513"/>
    <w:rsid w:val="4B7A67C3"/>
    <w:rsid w:val="4BDF00E6"/>
    <w:rsid w:val="4CC7F028"/>
    <w:rsid w:val="4DAAC783"/>
    <w:rsid w:val="4DCA9899"/>
    <w:rsid w:val="4DDEB86A"/>
    <w:rsid w:val="4E5B5867"/>
    <w:rsid w:val="4E97DE22"/>
    <w:rsid w:val="4EC0E382"/>
    <w:rsid w:val="50112125"/>
    <w:rsid w:val="502BEBA1"/>
    <w:rsid w:val="50CFC5CA"/>
    <w:rsid w:val="50D2912D"/>
    <w:rsid w:val="513A46C6"/>
    <w:rsid w:val="515AC436"/>
    <w:rsid w:val="529D6CB0"/>
    <w:rsid w:val="529E9C69"/>
    <w:rsid w:val="53065556"/>
    <w:rsid w:val="53EDBF03"/>
    <w:rsid w:val="53F61A32"/>
    <w:rsid w:val="5457A167"/>
    <w:rsid w:val="54902E56"/>
    <w:rsid w:val="55CDB972"/>
    <w:rsid w:val="56785F22"/>
    <w:rsid w:val="5715B3DF"/>
    <w:rsid w:val="57B0DD5D"/>
    <w:rsid w:val="58F996FF"/>
    <w:rsid w:val="59D6F3B0"/>
    <w:rsid w:val="59FA7210"/>
    <w:rsid w:val="5A8DB393"/>
    <w:rsid w:val="5B964271"/>
    <w:rsid w:val="5C37D19C"/>
    <w:rsid w:val="5CF2BDDD"/>
    <w:rsid w:val="5CF579A3"/>
    <w:rsid w:val="5D4CCEC6"/>
    <w:rsid w:val="5D5F6F55"/>
    <w:rsid w:val="5DD45217"/>
    <w:rsid w:val="5E127195"/>
    <w:rsid w:val="5E201EE1"/>
    <w:rsid w:val="5ED51203"/>
    <w:rsid w:val="5F5C2408"/>
    <w:rsid w:val="5F602D63"/>
    <w:rsid w:val="5F970684"/>
    <w:rsid w:val="6053282F"/>
    <w:rsid w:val="60F7F469"/>
    <w:rsid w:val="6121EDDE"/>
    <w:rsid w:val="6293C4CA"/>
    <w:rsid w:val="62B2AA86"/>
    <w:rsid w:val="642F952B"/>
    <w:rsid w:val="65BD7504"/>
    <w:rsid w:val="6A122971"/>
    <w:rsid w:val="6A3251A9"/>
    <w:rsid w:val="6BADF9D2"/>
    <w:rsid w:val="6CAD1302"/>
    <w:rsid w:val="6CAD1EF0"/>
    <w:rsid w:val="6CBF15DB"/>
    <w:rsid w:val="6D8BB373"/>
    <w:rsid w:val="6DC84980"/>
    <w:rsid w:val="6EA9C01B"/>
    <w:rsid w:val="6FA6FCAE"/>
    <w:rsid w:val="6FB5E806"/>
    <w:rsid w:val="6FB6F7BF"/>
    <w:rsid w:val="70C24851"/>
    <w:rsid w:val="7107B0B7"/>
    <w:rsid w:val="7148F6B5"/>
    <w:rsid w:val="725D4F79"/>
    <w:rsid w:val="728E836A"/>
    <w:rsid w:val="72AE8698"/>
    <w:rsid w:val="739E46B3"/>
    <w:rsid w:val="758F1496"/>
    <w:rsid w:val="761BBAAF"/>
    <w:rsid w:val="767C1599"/>
    <w:rsid w:val="76F899FF"/>
    <w:rsid w:val="7839CE30"/>
    <w:rsid w:val="78C5F785"/>
    <w:rsid w:val="79ACCAE9"/>
    <w:rsid w:val="79D4CB1C"/>
    <w:rsid w:val="7A8843AE"/>
    <w:rsid w:val="7AA14F90"/>
    <w:rsid w:val="7AF00B2D"/>
    <w:rsid w:val="7EF1F734"/>
    <w:rsid w:val="7F2F4F51"/>
    <w:rsid w:val="7FD97F1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1FD156"/>
  <w15:docId w15:val="{C7A54973-1EF9-4927-9BBB-DDA2B66EEF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40" w:line="288" w:lineRule="auto"/>
      </w:pPr>
    </w:pPrDefault>
  </w:docDefaults>
  <w:latentStyles w:defLockedState="0" w:defUIPriority="99" w:defSemiHidden="0" w:defUnhideWhenUsed="0" w:defQFormat="0" w:count="376">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qFormat="1"/>
    <w:lsdException w:name="heading 9" w:semiHidden="1"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24"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2" w:qFormat="1"/>
    <w:lsdException w:name="table of figures" w:semiHidden="1" w:unhideWhenUsed="1"/>
    <w:lsdException w:name="envelope address" w:semiHidden="1" w:unhideWhenUsed="1"/>
    <w:lsdException w:name="envelope return" w:semiHidden="1" w:unhideWhenUsed="1"/>
    <w:lsdException w:name="footnote reference" w:semiHidden="1" w:uiPriority="24"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3" w:qFormat="1"/>
    <w:lsdException w:name="List Number" w:uiPriority="16"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4" w:qFormat="1"/>
    <w:lsdException w:name="Closing" w:semiHidden="1" w:unhideWhenUsed="1"/>
    <w:lsdException w:name="Signature" w:semiHidden="1" w:unhideWhenUsed="1"/>
    <w:lsdException w:name="Default Paragraph Font" w:semiHidden="1" w:uiPriority="1" w:unhideWhenUsed="1"/>
    <w:lsdException w:name="Body Text" w:uiPriority="15"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5"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3" w:qFormat="1"/>
    <w:lsdException w:name="Emphasis" w:uiPriority="3"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nhideWhenUsed="1" w:qFormat="1"/>
    <w:lsdException w:name="Quote" w:semiHidden="1" w:uiPriority="29" w:unhideWhenUsed="1"/>
    <w:lsdException w:name="Intense Quote" w:semiHidden="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lsdException w:name="Intense Emphasis" w:semiHidden="1" w:qFormat="1"/>
    <w:lsdException w:name="Subtle Reference" w:semiHidden="1"/>
    <w:lsdException w:name="Intense Reference" w:semiHidden="1" w:qFormat="1"/>
    <w:lsdException w:name="Book Title" w:semiHidden="1" w:uiPriority="94" w:unhideWhenUsed="1" w:qFormat="1"/>
    <w:lsdException w:name="Bibliography" w:semiHidden="1" w:uiPriority="37" w:unhideWhenUsed="1"/>
    <w:lsdException w:name="TOC Heading" w:semiHidden="1" w:uiPriority="8"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next w:val="BodyText"/>
    <w:uiPriority w:val="99"/>
    <w:rsid w:val="007011F9"/>
    <w:pPr>
      <w:spacing w:before="240" w:after="0"/>
    </w:pPr>
    <w:rPr>
      <w:szCs w:val="20"/>
    </w:rPr>
  </w:style>
  <w:style w:type="paragraph" w:styleId="Heading1">
    <w:name w:val="heading 1"/>
    <w:basedOn w:val="Normal"/>
    <w:next w:val="BodyTextafterheading"/>
    <w:link w:val="Heading1Char"/>
    <w:uiPriority w:val="9"/>
    <w:qFormat/>
    <w:rsid w:val="00C5571B"/>
    <w:pPr>
      <w:keepNext/>
      <w:keepLines/>
      <w:pageBreakBefore/>
      <w:numPr>
        <w:numId w:val="15"/>
      </w:numPr>
      <w:pBdr>
        <w:top w:val="single" w:sz="48" w:space="1" w:color="1E3C78" w:themeColor="text1"/>
        <w:left w:val="single" w:sz="48" w:space="4" w:color="1E3C78" w:themeColor="text1"/>
        <w:bottom w:val="single" w:sz="48" w:space="1" w:color="1E3C78" w:themeColor="text1"/>
        <w:right w:val="single" w:sz="48" w:space="4" w:color="1E3C78" w:themeColor="text1"/>
      </w:pBdr>
      <w:shd w:val="clear" w:color="auto" w:fill="1E3C78" w:themeFill="text1"/>
      <w:spacing w:before="480" w:after="360"/>
      <w:outlineLvl w:val="0"/>
    </w:pPr>
    <w:rPr>
      <w:rFonts w:asciiTheme="majorHAnsi" w:eastAsiaTheme="majorEastAsia" w:hAnsiTheme="majorHAnsi" w:cs="Arial"/>
      <w:b/>
      <w:sz w:val="36"/>
      <w:szCs w:val="36"/>
    </w:rPr>
  </w:style>
  <w:style w:type="paragraph" w:styleId="Heading2">
    <w:name w:val="heading 2"/>
    <w:basedOn w:val="Normal"/>
    <w:next w:val="BodyTextafterheading"/>
    <w:link w:val="Heading2Char"/>
    <w:uiPriority w:val="9"/>
    <w:unhideWhenUsed/>
    <w:qFormat/>
    <w:rsid w:val="00852DE5"/>
    <w:pPr>
      <w:keepNext/>
      <w:keepLines/>
      <w:spacing w:after="120"/>
      <w:outlineLvl w:val="1"/>
    </w:pPr>
    <w:rPr>
      <w:rFonts w:asciiTheme="majorHAnsi" w:eastAsiaTheme="majorEastAsia" w:hAnsiTheme="majorHAnsi" w:cstheme="majorBidi"/>
      <w:b/>
      <w:color w:val="0070C0"/>
      <w:sz w:val="36"/>
      <w:szCs w:val="26"/>
    </w:rPr>
  </w:style>
  <w:style w:type="paragraph" w:styleId="Heading3">
    <w:name w:val="heading 3"/>
    <w:basedOn w:val="Heading2"/>
    <w:next w:val="BodyTextafterheading"/>
    <w:link w:val="Heading3Char"/>
    <w:unhideWhenUsed/>
    <w:qFormat/>
    <w:rsid w:val="00DE32FB"/>
    <w:pPr>
      <w:outlineLvl w:val="2"/>
    </w:pPr>
    <w:rPr>
      <w:sz w:val="28"/>
      <w:szCs w:val="24"/>
    </w:rPr>
  </w:style>
  <w:style w:type="paragraph" w:styleId="Heading4">
    <w:name w:val="heading 4"/>
    <w:basedOn w:val="BodyText"/>
    <w:next w:val="BodyTextafterheading"/>
    <w:link w:val="Heading4Char"/>
    <w:uiPriority w:val="9"/>
    <w:unhideWhenUsed/>
    <w:qFormat/>
    <w:rsid w:val="00852DE5"/>
    <w:pPr>
      <w:keepNext/>
      <w:keepLines/>
      <w:spacing w:before="280" w:after="120"/>
      <w:outlineLvl w:val="3"/>
    </w:pPr>
    <w:rPr>
      <w:rFonts w:eastAsiaTheme="majorEastAsia" w:cstheme="majorBidi"/>
      <w:b/>
      <w:iCs/>
      <w:color w:val="1E3C78" w:themeColor="text1"/>
      <w:sz w:val="24"/>
    </w:rPr>
  </w:style>
  <w:style w:type="paragraph" w:styleId="Heading5">
    <w:name w:val="heading 5"/>
    <w:basedOn w:val="Heading4"/>
    <w:next w:val="BodyTextafterheading"/>
    <w:link w:val="Heading5Char"/>
    <w:uiPriority w:val="9"/>
    <w:unhideWhenUsed/>
    <w:rsid w:val="00DF5D85"/>
    <w:pPr>
      <w:outlineLvl w:val="4"/>
    </w:pPr>
    <w:rPr>
      <w:i/>
    </w:rPr>
  </w:style>
  <w:style w:type="paragraph" w:styleId="Heading6">
    <w:name w:val="heading 6"/>
    <w:basedOn w:val="Heading5"/>
    <w:next w:val="BodyTextafterheading"/>
    <w:link w:val="Heading6Char"/>
    <w:uiPriority w:val="9"/>
    <w:unhideWhenUsed/>
    <w:qFormat/>
    <w:rsid w:val="00DF5D85"/>
    <w:pPr>
      <w:outlineLvl w:val="5"/>
    </w:pPr>
    <w:rPr>
      <w:b w:val="0"/>
    </w:rPr>
  </w:style>
  <w:style w:type="paragraph" w:styleId="Heading7">
    <w:name w:val="heading 7"/>
    <w:next w:val="BodyText"/>
    <w:link w:val="Heading7Char"/>
    <w:uiPriority w:val="9"/>
    <w:qFormat/>
    <w:rsid w:val="00DE32FB"/>
    <w:pPr>
      <w:outlineLvl w:val="6"/>
    </w:pPr>
    <w:rPr>
      <w:rFonts w:cs="Arial"/>
      <w:sz w:val="20"/>
      <w:szCs w:val="28"/>
    </w:rPr>
  </w:style>
  <w:style w:type="paragraph" w:styleId="Heading8">
    <w:name w:val="heading 8"/>
    <w:basedOn w:val="Normal"/>
    <w:next w:val="BodyText"/>
    <w:link w:val="Heading8Char"/>
    <w:uiPriority w:val="9"/>
    <w:qFormat/>
    <w:rsid w:val="00DF5D85"/>
    <w:pPr>
      <w:keepNext/>
      <w:keepLines/>
      <w:spacing w:before="40"/>
      <w:outlineLvl w:val="7"/>
    </w:pPr>
    <w:rPr>
      <w:rFonts w:eastAsiaTheme="majorEastAsia" w:cstheme="majorBidi"/>
      <w:szCs w:val="21"/>
    </w:rPr>
  </w:style>
  <w:style w:type="paragraph" w:styleId="Heading9">
    <w:name w:val="heading 9"/>
    <w:basedOn w:val="Heading8"/>
    <w:next w:val="BodyText"/>
    <w:link w:val="Heading9Char"/>
    <w:uiPriority w:val="9"/>
    <w:semiHidden/>
    <w:rsid w:val="00184BFC"/>
    <w:pPr>
      <w:outlineLvl w:val="8"/>
    </w:pPr>
    <w:rPr>
      <w:rFonts w:asciiTheme="majorHAnsi" w:hAnsiTheme="majorHAnsi"/>
      <w:i/>
      <w:i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4"/>
    <w:qFormat/>
    <w:rsid w:val="00DF5D85"/>
    <w:pPr>
      <w:spacing w:after="680" w:line="300" w:lineRule="auto"/>
      <w:contextualSpacing/>
      <w:jc w:val="center"/>
    </w:pPr>
    <w:rPr>
      <w:rFonts w:asciiTheme="majorHAnsi" w:eastAsiaTheme="majorEastAsia" w:hAnsiTheme="majorHAnsi" w:cstheme="majorBidi"/>
      <w:b/>
      <w:color w:val="1E3C78" w:themeColor="text1"/>
      <w:spacing w:val="-10"/>
      <w:kern w:val="28"/>
      <w:sz w:val="56"/>
      <w:szCs w:val="56"/>
    </w:rPr>
  </w:style>
  <w:style w:type="character" w:customStyle="1" w:styleId="TitleChar">
    <w:name w:val="Title Char"/>
    <w:basedOn w:val="DefaultParagraphFont"/>
    <w:link w:val="Title"/>
    <w:uiPriority w:val="4"/>
    <w:rsid w:val="00DF5D85"/>
    <w:rPr>
      <w:rFonts w:asciiTheme="majorHAnsi" w:eastAsiaTheme="majorEastAsia" w:hAnsiTheme="majorHAnsi" w:cstheme="majorBidi"/>
      <w:b/>
      <w:color w:val="1E3C78" w:themeColor="text1"/>
      <w:spacing w:val="-10"/>
      <w:kern w:val="28"/>
      <w:sz w:val="56"/>
      <w:szCs w:val="56"/>
    </w:rPr>
  </w:style>
  <w:style w:type="paragraph" w:styleId="Subtitle">
    <w:name w:val="Subtitle"/>
    <w:basedOn w:val="Normal"/>
    <w:link w:val="SubtitleChar"/>
    <w:uiPriority w:val="5"/>
    <w:qFormat/>
    <w:rsid w:val="00DF5D85"/>
    <w:pPr>
      <w:numPr>
        <w:ilvl w:val="1"/>
      </w:numPr>
      <w:spacing w:after="160" w:line="480" w:lineRule="auto"/>
      <w:jc w:val="center"/>
    </w:pPr>
    <w:rPr>
      <w:rFonts w:eastAsiaTheme="minorEastAsia"/>
      <w:b/>
      <w:color w:val="000000" w:themeColor="text2"/>
      <w:spacing w:val="15"/>
      <w:sz w:val="32"/>
    </w:rPr>
  </w:style>
  <w:style w:type="character" w:customStyle="1" w:styleId="SubtitleChar">
    <w:name w:val="Subtitle Char"/>
    <w:basedOn w:val="DefaultParagraphFont"/>
    <w:link w:val="Subtitle"/>
    <w:uiPriority w:val="5"/>
    <w:rsid w:val="00DF5D85"/>
    <w:rPr>
      <w:rFonts w:eastAsiaTheme="minorEastAsia"/>
      <w:b/>
      <w:color w:val="000000" w:themeColor="text2"/>
      <w:spacing w:val="15"/>
      <w:sz w:val="32"/>
      <w:szCs w:val="20"/>
    </w:rPr>
  </w:style>
  <w:style w:type="character" w:customStyle="1" w:styleId="Heading1Char">
    <w:name w:val="Heading 1 Char"/>
    <w:basedOn w:val="DefaultParagraphFont"/>
    <w:link w:val="Heading1"/>
    <w:uiPriority w:val="9"/>
    <w:rsid w:val="00526D19"/>
    <w:rPr>
      <w:rFonts w:asciiTheme="majorHAnsi" w:eastAsiaTheme="majorEastAsia" w:hAnsiTheme="majorHAnsi" w:cs="Arial"/>
      <w:b/>
      <w:sz w:val="36"/>
      <w:szCs w:val="36"/>
      <w:shd w:val="clear" w:color="auto" w:fill="1E3C78" w:themeFill="text1"/>
    </w:rPr>
  </w:style>
  <w:style w:type="character" w:customStyle="1" w:styleId="Heading2Char">
    <w:name w:val="Heading 2 Char"/>
    <w:basedOn w:val="DefaultParagraphFont"/>
    <w:link w:val="Heading2"/>
    <w:uiPriority w:val="9"/>
    <w:rsid w:val="00852DE5"/>
    <w:rPr>
      <w:rFonts w:asciiTheme="majorHAnsi" w:eastAsiaTheme="majorEastAsia" w:hAnsiTheme="majorHAnsi" w:cstheme="majorBidi"/>
      <w:b/>
      <w:color w:val="0070C0"/>
      <w:sz w:val="36"/>
      <w:szCs w:val="26"/>
    </w:rPr>
  </w:style>
  <w:style w:type="character" w:customStyle="1" w:styleId="Heading3Char">
    <w:name w:val="Heading 3 Char"/>
    <w:basedOn w:val="DefaultParagraphFont"/>
    <w:link w:val="Heading3"/>
    <w:rsid w:val="00DE32FB"/>
    <w:rPr>
      <w:rFonts w:asciiTheme="majorHAnsi" w:eastAsiaTheme="majorEastAsia" w:hAnsiTheme="majorHAnsi" w:cstheme="majorBidi"/>
      <w:b/>
      <w:color w:val="0070C0"/>
      <w:sz w:val="28"/>
      <w:szCs w:val="24"/>
    </w:rPr>
  </w:style>
  <w:style w:type="character" w:styleId="Hyperlink">
    <w:name w:val="Hyperlink"/>
    <w:uiPriority w:val="99"/>
    <w:rsid w:val="00DF5D85"/>
    <w:rPr>
      <w:rFonts w:asciiTheme="minorHAnsi" w:hAnsiTheme="minorHAnsi" w:cs="Times New Roman" w:hint="default"/>
      <w:color w:val="0000FF"/>
      <w:u w:val="single"/>
    </w:rPr>
  </w:style>
  <w:style w:type="paragraph" w:styleId="TOC1">
    <w:name w:val="toc 1"/>
    <w:basedOn w:val="BodyText"/>
    <w:autoRedefine/>
    <w:uiPriority w:val="39"/>
    <w:qFormat/>
    <w:rsid w:val="00EF240C"/>
    <w:pPr>
      <w:tabs>
        <w:tab w:val="left" w:pos="720"/>
        <w:tab w:val="right" w:leader="dot" w:pos="9000"/>
      </w:tabs>
      <w:spacing w:line="240" w:lineRule="auto"/>
    </w:pPr>
    <w:rPr>
      <w:rFonts w:eastAsia="Times New Roman" w:cs="Times New Roman"/>
      <w:b/>
      <w:noProof/>
      <w:color w:val="000000"/>
      <w:szCs w:val="24"/>
      <w:lang w:eastAsia="ja-JP"/>
    </w:rPr>
  </w:style>
  <w:style w:type="paragraph" w:styleId="TOC2">
    <w:name w:val="toc 2"/>
    <w:basedOn w:val="TOC1"/>
    <w:autoRedefine/>
    <w:uiPriority w:val="39"/>
    <w:qFormat/>
    <w:rsid w:val="00672269"/>
    <w:pPr>
      <w:spacing w:before="0"/>
      <w:ind w:left="720"/>
    </w:pPr>
    <w:rPr>
      <w:b w:val="0"/>
    </w:rPr>
  </w:style>
  <w:style w:type="paragraph" w:styleId="TOC3">
    <w:name w:val="toc 3"/>
    <w:basedOn w:val="TOC2"/>
    <w:autoRedefine/>
    <w:uiPriority w:val="39"/>
    <w:semiHidden/>
    <w:rsid w:val="00670F82"/>
    <w:pPr>
      <w:ind w:left="1080"/>
      <w:contextualSpacing/>
    </w:pPr>
  </w:style>
  <w:style w:type="paragraph" w:styleId="FootnoteText">
    <w:name w:val="footnote text"/>
    <w:basedOn w:val="Normal"/>
    <w:link w:val="FootnoteTextChar"/>
    <w:uiPriority w:val="24"/>
    <w:unhideWhenUsed/>
    <w:rsid w:val="006B6872"/>
    <w:pPr>
      <w:spacing w:line="240" w:lineRule="auto"/>
    </w:pPr>
    <w:rPr>
      <w:rFonts w:eastAsia="Times New Roman" w:cs="Times New Roman"/>
      <w:sz w:val="20"/>
    </w:rPr>
  </w:style>
  <w:style w:type="character" w:customStyle="1" w:styleId="FootnoteTextChar">
    <w:name w:val="Footnote Text Char"/>
    <w:basedOn w:val="DefaultParagraphFont"/>
    <w:link w:val="FootnoteText"/>
    <w:uiPriority w:val="24"/>
    <w:rsid w:val="006B6872"/>
    <w:rPr>
      <w:rFonts w:eastAsia="Times New Roman" w:cs="Times New Roman"/>
      <w:sz w:val="20"/>
      <w:szCs w:val="20"/>
    </w:rPr>
  </w:style>
  <w:style w:type="paragraph" w:styleId="CommentText">
    <w:name w:val="annotation text"/>
    <w:basedOn w:val="Normal"/>
    <w:link w:val="CommentTextChar"/>
    <w:uiPriority w:val="99"/>
    <w:unhideWhenUsed/>
    <w:rsid w:val="00DF5D85"/>
    <w:pPr>
      <w:spacing w:line="240" w:lineRule="auto"/>
    </w:pPr>
    <w:rPr>
      <w:rFonts w:ascii="Segoe UI Semibold" w:eastAsia="Times New Roman" w:hAnsi="Segoe UI Semibold" w:cs="Times New Roman"/>
    </w:rPr>
  </w:style>
  <w:style w:type="character" w:customStyle="1" w:styleId="CommentTextChar">
    <w:name w:val="Comment Text Char"/>
    <w:basedOn w:val="DefaultParagraphFont"/>
    <w:link w:val="CommentText"/>
    <w:uiPriority w:val="99"/>
    <w:rsid w:val="00DF5D85"/>
    <w:rPr>
      <w:rFonts w:ascii="Segoe UI Semibold" w:eastAsia="Times New Roman" w:hAnsi="Segoe UI Semibold" w:cs="Times New Roman"/>
      <w:szCs w:val="20"/>
    </w:rPr>
  </w:style>
  <w:style w:type="paragraph" w:styleId="TOCHeading">
    <w:name w:val="TOC Heading"/>
    <w:next w:val="TOC1"/>
    <w:uiPriority w:val="8"/>
    <w:unhideWhenUsed/>
    <w:qFormat/>
    <w:rsid w:val="000A7BAB"/>
    <w:pPr>
      <w:pageBreakBefore/>
      <w:spacing w:after="480" w:line="240" w:lineRule="auto"/>
      <w:jc w:val="center"/>
      <w:outlineLvl w:val="0"/>
    </w:pPr>
    <w:rPr>
      <w:rFonts w:asciiTheme="majorHAnsi" w:eastAsia="Times New Roman" w:hAnsiTheme="majorHAnsi" w:cs="Times New Roman"/>
      <w:b/>
      <w:sz w:val="40"/>
      <w:szCs w:val="24"/>
    </w:rPr>
  </w:style>
  <w:style w:type="paragraph" w:styleId="Caption">
    <w:name w:val="caption"/>
    <w:basedOn w:val="BodyText"/>
    <w:next w:val="BodyText"/>
    <w:uiPriority w:val="2"/>
    <w:qFormat/>
    <w:rsid w:val="00BF3953"/>
    <w:pPr>
      <w:keepNext/>
      <w:spacing w:after="60"/>
    </w:pPr>
    <w:rPr>
      <w:b/>
      <w:iCs/>
      <w:color w:val="000000" w:themeColor="text2"/>
      <w:sz w:val="20"/>
      <w:szCs w:val="18"/>
    </w:rPr>
  </w:style>
  <w:style w:type="character" w:customStyle="1" w:styleId="StrongEmphasis">
    <w:name w:val="Strong Emphasis"/>
    <w:uiPriority w:val="3"/>
    <w:qFormat/>
    <w:rsid w:val="00DF5D85"/>
    <w:rPr>
      <w:b/>
      <w:i/>
    </w:rPr>
  </w:style>
  <w:style w:type="character" w:styleId="FootnoteReference">
    <w:name w:val="footnote reference"/>
    <w:uiPriority w:val="24"/>
    <w:unhideWhenUsed/>
    <w:rsid w:val="00DF5D85"/>
    <w:rPr>
      <w:rFonts w:asciiTheme="minorHAnsi" w:hAnsiTheme="minorHAnsi" w:cs="Times New Roman" w:hint="default"/>
      <w:vertAlign w:val="superscript"/>
    </w:rPr>
  </w:style>
  <w:style w:type="character" w:styleId="CommentReference">
    <w:name w:val="annotation reference"/>
    <w:uiPriority w:val="99"/>
    <w:unhideWhenUsed/>
    <w:rsid w:val="00DE32FB"/>
    <w:rPr>
      <w:rFonts w:ascii="Segoe UI Semibold" w:hAnsi="Segoe UI Semibold" w:cs="Times New Roman" w:hint="default"/>
      <w:sz w:val="16"/>
      <w:szCs w:val="16"/>
    </w:rPr>
  </w:style>
  <w:style w:type="paragraph" w:styleId="BalloonText">
    <w:name w:val="Balloon Text"/>
    <w:basedOn w:val="Normal"/>
    <w:link w:val="BalloonTextChar"/>
    <w:uiPriority w:val="99"/>
    <w:semiHidden/>
    <w:unhideWhenUsed/>
    <w:rsid w:val="00DF5D85"/>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F5D85"/>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DF5D85"/>
    <w:pPr>
      <w:spacing w:after="200"/>
    </w:pPr>
    <w:rPr>
      <w:b/>
      <w:bCs/>
    </w:rPr>
  </w:style>
  <w:style w:type="character" w:customStyle="1" w:styleId="CommentSubjectChar">
    <w:name w:val="Comment Subject Char"/>
    <w:basedOn w:val="CommentTextChar"/>
    <w:link w:val="CommentSubject"/>
    <w:uiPriority w:val="99"/>
    <w:semiHidden/>
    <w:rsid w:val="00DF5D85"/>
    <w:rPr>
      <w:rFonts w:ascii="Segoe UI Semibold" w:eastAsia="Times New Roman" w:hAnsi="Segoe UI Semibold" w:cs="Times New Roman"/>
      <w:b/>
      <w:bCs/>
      <w:szCs w:val="20"/>
    </w:rPr>
  </w:style>
  <w:style w:type="character" w:styleId="Strong">
    <w:name w:val="Strong"/>
    <w:uiPriority w:val="3"/>
    <w:qFormat/>
    <w:rsid w:val="00DF5D85"/>
    <w:rPr>
      <w:b/>
      <w:bCs/>
    </w:rPr>
  </w:style>
  <w:style w:type="character" w:styleId="Emphasis">
    <w:name w:val="Emphasis"/>
    <w:uiPriority w:val="3"/>
    <w:qFormat/>
    <w:rsid w:val="00DF5D85"/>
    <w:rPr>
      <w:i/>
      <w:iCs/>
    </w:rPr>
  </w:style>
  <w:style w:type="character" w:styleId="FollowedHyperlink">
    <w:name w:val="FollowedHyperlink"/>
    <w:uiPriority w:val="99"/>
    <w:semiHidden/>
    <w:unhideWhenUsed/>
    <w:rsid w:val="00DF5D85"/>
    <w:rPr>
      <w:color w:val="7D868C" w:themeColor="followedHyperlink"/>
      <w:u w:val="single"/>
    </w:rPr>
  </w:style>
  <w:style w:type="paragraph" w:styleId="ListNumber">
    <w:name w:val="List Number"/>
    <w:basedOn w:val="BodyText"/>
    <w:uiPriority w:val="16"/>
    <w:qFormat/>
    <w:rsid w:val="00DE32FB"/>
    <w:pPr>
      <w:numPr>
        <w:numId w:val="3"/>
      </w:numPr>
      <w:contextualSpacing/>
    </w:pPr>
  </w:style>
  <w:style w:type="table" w:customStyle="1" w:styleId="HHSFinancialData">
    <w:name w:val="HHS Financial Data"/>
    <w:basedOn w:val="TableNormal"/>
    <w:uiPriority w:val="99"/>
    <w:rsid w:val="006C44AA"/>
    <w:pPr>
      <w:spacing w:after="0" w:line="240" w:lineRule="auto"/>
      <w:jc w:val="right"/>
    </w:pPr>
    <w:rPr>
      <w:sz w:val="20"/>
      <w:szCs w:val="20"/>
    </w:rPr>
    <w:tblPr>
      <w:tblStyleRowBandSize w:val="1"/>
      <w:tblCellMar>
        <w:top w:w="40" w:type="dxa"/>
        <w:left w:w="60" w:type="dxa"/>
        <w:bottom w:w="120" w:type="dxa"/>
        <w:right w:w="60" w:type="dxa"/>
      </w:tblCellMar>
    </w:tblPr>
    <w:trPr>
      <w:cantSplit/>
    </w:trPr>
    <w:tcPr>
      <w:vAlign w:val="center"/>
    </w:tcPr>
    <w:tblStylePr w:type="firstRow">
      <w:pPr>
        <w:wordWrap/>
        <w:jc w:val="center"/>
      </w:pPr>
      <w:rPr>
        <w:rFonts w:asciiTheme="minorHAnsi" w:hAnsiTheme="minorHAnsi"/>
        <w:b/>
        <w:sz w:val="18"/>
      </w:rPr>
      <w:tblPr/>
      <w:trPr>
        <w:tblHeader/>
      </w:trPr>
      <w:tcPr>
        <w:shd w:val="clear" w:color="auto" w:fill="C4DDF4" w:themeFill="accent1" w:themeFillTint="66"/>
      </w:tcPr>
    </w:tblStylePr>
    <w:tblStylePr w:type="lastRow">
      <w:rPr>
        <w:b/>
      </w:rPr>
      <w:tblPr/>
      <w:tcPr>
        <w:shd w:val="clear" w:color="auto" w:fill="C4DDF4" w:themeFill="accent1" w:themeFillTint="66"/>
      </w:tcPr>
    </w:tblStylePr>
    <w:tblStylePr w:type="firstCol">
      <w:pPr>
        <w:wordWrap/>
        <w:jc w:val="left"/>
      </w:pPr>
      <w:rPr>
        <w:b/>
      </w:rPr>
      <w:tblPr/>
      <w:trPr>
        <w:cantSplit w:val="0"/>
      </w:trPr>
      <w:tcPr>
        <w:tcMar>
          <w:top w:w="40" w:type="dxa"/>
          <w:left w:w="180" w:type="dxa"/>
          <w:bottom w:w="80" w:type="dxa"/>
          <w:right w:w="240" w:type="dxa"/>
        </w:tcMar>
      </w:tcPr>
    </w:tblStylePr>
    <w:tblStylePr w:type="lastCol">
      <w:rPr>
        <w:b/>
      </w:rPr>
      <w:tblPr/>
      <w:tcPr>
        <w:shd w:val="clear" w:color="auto" w:fill="C4DDF4" w:themeFill="accent1" w:themeFillTint="66"/>
      </w:tcPr>
    </w:tblStylePr>
    <w:tblStylePr w:type="band2Horz">
      <w:tblPr/>
      <w:tcPr>
        <w:shd w:val="clear" w:color="auto" w:fill="E1EEF9" w:themeFill="accent1" w:themeFillTint="33"/>
      </w:tcPr>
    </w:tblStylePr>
    <w:tblStylePr w:type="nwCell">
      <w:pPr>
        <w:wordWrap/>
        <w:jc w:val="left"/>
      </w:pPr>
    </w:tblStylePr>
  </w:style>
  <w:style w:type="table" w:styleId="GridTable1Light-Accent6">
    <w:name w:val="Grid Table 1 Light Accent 6"/>
    <w:basedOn w:val="TableNormal"/>
    <w:uiPriority w:val="46"/>
    <w:rsid w:val="00DF5D85"/>
    <w:pPr>
      <w:spacing w:after="0" w:line="240" w:lineRule="auto"/>
    </w:pPr>
    <w:rPr>
      <w:sz w:val="20"/>
      <w:szCs w:val="20"/>
    </w:rPr>
    <w:tblPr>
      <w:tblStyleRowBandSize w:val="1"/>
      <w:tblStyleColBandSize w:val="1"/>
      <w:tblBorders>
        <w:top w:val="single" w:sz="4" w:space="0" w:color="EBD09C" w:themeColor="accent6" w:themeTint="66"/>
        <w:left w:val="single" w:sz="4" w:space="0" w:color="EBD09C" w:themeColor="accent6" w:themeTint="66"/>
        <w:bottom w:val="single" w:sz="4" w:space="0" w:color="EBD09C" w:themeColor="accent6" w:themeTint="66"/>
        <w:right w:val="single" w:sz="4" w:space="0" w:color="EBD09C" w:themeColor="accent6" w:themeTint="66"/>
        <w:insideH w:val="single" w:sz="4" w:space="0" w:color="EBD09C" w:themeColor="accent6" w:themeTint="66"/>
        <w:insideV w:val="single" w:sz="4" w:space="0" w:color="EBD09C" w:themeColor="accent6" w:themeTint="66"/>
      </w:tblBorders>
    </w:tblPr>
    <w:tblStylePr w:type="firstRow">
      <w:rPr>
        <w:b/>
        <w:bCs/>
      </w:rPr>
      <w:tblPr/>
      <w:tcPr>
        <w:tcBorders>
          <w:bottom w:val="single" w:sz="12" w:space="0" w:color="E0B86A" w:themeColor="accent6" w:themeTint="99"/>
        </w:tcBorders>
      </w:tcPr>
    </w:tblStylePr>
    <w:tblStylePr w:type="lastRow">
      <w:rPr>
        <w:b/>
        <w:bCs/>
      </w:rPr>
      <w:tblPr/>
      <w:tcPr>
        <w:tcBorders>
          <w:top w:val="double" w:sz="2" w:space="0" w:color="E0B86A" w:themeColor="accent6" w:themeTint="99"/>
        </w:tcBorders>
      </w:tcPr>
    </w:tblStylePr>
    <w:tblStylePr w:type="firstCol">
      <w:rPr>
        <w:b/>
        <w:bCs/>
      </w:rPr>
    </w:tblStylePr>
    <w:tblStylePr w:type="lastCol">
      <w:rPr>
        <w:b/>
        <w:bCs/>
      </w:rPr>
    </w:tblStylePr>
  </w:style>
  <w:style w:type="table" w:styleId="TableGrid">
    <w:name w:val="Table Grid"/>
    <w:basedOn w:val="TableNormal"/>
    <w:uiPriority w:val="39"/>
    <w:rsid w:val="00DF5D85"/>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unhideWhenUsed/>
    <w:rsid w:val="00296AC6"/>
    <w:pPr>
      <w:spacing w:line="240" w:lineRule="auto"/>
      <w:ind w:left="180" w:hanging="180"/>
      <w:contextualSpacing/>
    </w:pPr>
    <w:rPr>
      <w:sz w:val="18"/>
    </w:rPr>
  </w:style>
  <w:style w:type="character" w:customStyle="1" w:styleId="EndnoteTextChar">
    <w:name w:val="Endnote Text Char"/>
    <w:basedOn w:val="DefaultParagraphFont"/>
    <w:link w:val="EndnoteText"/>
    <w:uiPriority w:val="99"/>
    <w:semiHidden/>
    <w:rsid w:val="00296AC6"/>
    <w:rPr>
      <w:sz w:val="18"/>
      <w:szCs w:val="20"/>
    </w:rPr>
  </w:style>
  <w:style w:type="character" w:styleId="EndnoteReference">
    <w:name w:val="endnote reference"/>
    <w:basedOn w:val="DefaultParagraphFont"/>
    <w:uiPriority w:val="99"/>
    <w:rsid w:val="0028234C"/>
    <w:rPr>
      <w:sz w:val="24"/>
      <w:vertAlign w:val="superscript"/>
    </w:rPr>
  </w:style>
  <w:style w:type="paragraph" w:styleId="ListBullet">
    <w:name w:val="List Bullet"/>
    <w:basedOn w:val="BodyText"/>
    <w:uiPriority w:val="3"/>
    <w:qFormat/>
    <w:rsid w:val="00DE32FB"/>
    <w:pPr>
      <w:numPr>
        <w:numId w:val="4"/>
      </w:numPr>
      <w:contextualSpacing/>
    </w:pPr>
    <w:rPr>
      <w:rFonts w:cs="Calibri"/>
    </w:rPr>
  </w:style>
  <w:style w:type="paragraph" w:styleId="ListParagraph">
    <w:name w:val="List Paragraph"/>
    <w:aliases w:val="Level 2 List,Response Bullets,Bullet Two,Dot pt,F5 List Paragraph,No Spacing1,List Paragraph Char Char Char,Indicator Text,Numbered Para 1,Bullet 1,Bullet Points,List Paragraph2,MAIN CONTENT,Normal numbered,Issue Action POC,3,FooterText"/>
    <w:basedOn w:val="BodyText"/>
    <w:link w:val="ListParagraphChar"/>
    <w:uiPriority w:val="99"/>
    <w:qFormat/>
    <w:rsid w:val="00DF5D85"/>
    <w:pPr>
      <w:ind w:left="720"/>
      <w:contextualSpacing/>
    </w:pPr>
  </w:style>
  <w:style w:type="character" w:styleId="HTMLCode">
    <w:name w:val="HTML Code"/>
    <w:uiPriority w:val="99"/>
    <w:semiHidden/>
    <w:rsid w:val="000C0B13"/>
    <w:rPr>
      <w:rFonts w:ascii="Segoe UI Semibold" w:hAnsi="Segoe UI Semibold" w:cs="Consolas"/>
      <w:b w:val="0"/>
      <w:sz w:val="24"/>
      <w:szCs w:val="20"/>
    </w:rPr>
  </w:style>
  <w:style w:type="character" w:styleId="PlaceholderText">
    <w:name w:val="Placeholder Text"/>
    <w:uiPriority w:val="99"/>
    <w:semiHidden/>
    <w:rsid w:val="000A7BAB"/>
    <w:rPr>
      <w:color w:val="767676"/>
    </w:rPr>
  </w:style>
  <w:style w:type="paragraph" w:styleId="Header">
    <w:name w:val="header"/>
    <w:basedOn w:val="Normal"/>
    <w:link w:val="HeaderChar"/>
    <w:uiPriority w:val="99"/>
    <w:semiHidden/>
    <w:rsid w:val="00DF5D85"/>
    <w:pPr>
      <w:tabs>
        <w:tab w:val="center" w:pos="4680"/>
        <w:tab w:val="right" w:pos="9360"/>
      </w:tabs>
      <w:spacing w:line="240" w:lineRule="auto"/>
    </w:pPr>
  </w:style>
  <w:style w:type="character" w:customStyle="1" w:styleId="HeaderChar">
    <w:name w:val="Header Char"/>
    <w:basedOn w:val="DefaultParagraphFont"/>
    <w:link w:val="Header"/>
    <w:uiPriority w:val="99"/>
    <w:semiHidden/>
    <w:rsid w:val="004C1A20"/>
    <w:rPr>
      <w:szCs w:val="20"/>
    </w:rPr>
  </w:style>
  <w:style w:type="paragraph" w:styleId="Footer">
    <w:name w:val="footer"/>
    <w:basedOn w:val="Normal"/>
    <w:link w:val="FooterChar"/>
    <w:uiPriority w:val="99"/>
    <w:rsid w:val="00DF5D85"/>
    <w:pPr>
      <w:tabs>
        <w:tab w:val="center" w:pos="4680"/>
        <w:tab w:val="right" w:pos="9360"/>
      </w:tabs>
      <w:spacing w:line="240" w:lineRule="auto"/>
    </w:pPr>
    <w:rPr>
      <w:color w:val="1E3C78" w:themeColor="text1"/>
    </w:rPr>
  </w:style>
  <w:style w:type="character" w:customStyle="1" w:styleId="FooterChar">
    <w:name w:val="Footer Char"/>
    <w:basedOn w:val="DefaultParagraphFont"/>
    <w:link w:val="Footer"/>
    <w:uiPriority w:val="99"/>
    <w:rsid w:val="00FE6EC6"/>
    <w:rPr>
      <w:color w:val="1E3C78" w:themeColor="text1"/>
      <w:szCs w:val="20"/>
    </w:rPr>
  </w:style>
  <w:style w:type="character" w:styleId="PageNumber">
    <w:name w:val="page number"/>
    <w:uiPriority w:val="99"/>
    <w:semiHidden/>
    <w:rsid w:val="00DF5D85"/>
    <w:rPr>
      <w:rFonts w:asciiTheme="majorHAnsi" w:hAnsiTheme="majorHAnsi"/>
      <w:b/>
      <w:color w:val="auto"/>
      <w:sz w:val="20"/>
    </w:rPr>
  </w:style>
  <w:style w:type="paragraph" w:styleId="BodyText">
    <w:name w:val="Body Text"/>
    <w:basedOn w:val="Normal"/>
    <w:link w:val="BodyTextChar"/>
    <w:uiPriority w:val="15"/>
    <w:qFormat/>
    <w:rsid w:val="00DE32FB"/>
  </w:style>
  <w:style w:type="character" w:customStyle="1" w:styleId="BodyTextChar">
    <w:name w:val="Body Text Char"/>
    <w:basedOn w:val="DefaultParagraphFont"/>
    <w:link w:val="BodyText"/>
    <w:uiPriority w:val="15"/>
    <w:rsid w:val="00DE32FB"/>
    <w:rPr>
      <w:szCs w:val="20"/>
    </w:rPr>
  </w:style>
  <w:style w:type="paragraph" w:customStyle="1" w:styleId="Heading1forLists">
    <w:name w:val="Heading 1 for Lists"/>
    <w:basedOn w:val="TOCHeading"/>
    <w:next w:val="BodyTextafterheading"/>
    <w:link w:val="Heading1forListsChar"/>
    <w:uiPriority w:val="12"/>
    <w:qFormat/>
    <w:rsid w:val="00670F82"/>
    <w:rPr>
      <w:sz w:val="36"/>
    </w:rPr>
  </w:style>
  <w:style w:type="character" w:customStyle="1" w:styleId="Heading1forListsChar">
    <w:name w:val="Heading 1 for Lists Char"/>
    <w:basedOn w:val="DefaultParagraphFont"/>
    <w:link w:val="Heading1forLists"/>
    <w:uiPriority w:val="12"/>
    <w:rsid w:val="00670F82"/>
    <w:rPr>
      <w:rFonts w:asciiTheme="majorHAnsi" w:eastAsia="Times New Roman" w:hAnsiTheme="majorHAnsi" w:cs="Times New Roman"/>
      <w:b/>
      <w:sz w:val="36"/>
      <w:szCs w:val="24"/>
    </w:rPr>
  </w:style>
  <w:style w:type="table" w:customStyle="1" w:styleId="HHSTableforTextData">
    <w:name w:val="HHS Table for Text Data"/>
    <w:basedOn w:val="TableNormal"/>
    <w:uiPriority w:val="99"/>
    <w:rsid w:val="00C956C5"/>
    <w:pPr>
      <w:spacing w:after="0" w:line="240" w:lineRule="auto"/>
    </w:pPr>
    <w:rPr>
      <w:sz w:val="20"/>
      <w:szCs w:val="20"/>
    </w:rPr>
    <w:tblPr>
      <w:tblStyleRowBandSize w:val="1"/>
      <w:tblCellMar>
        <w:top w:w="40" w:type="dxa"/>
        <w:left w:w="240" w:type="dxa"/>
        <w:bottom w:w="120" w:type="dxa"/>
        <w:right w:w="240" w:type="dxa"/>
      </w:tblCellMar>
    </w:tblPr>
    <w:trPr>
      <w:cantSplit/>
    </w:trPr>
    <w:tblStylePr w:type="firstRow">
      <w:pPr>
        <w:wordWrap/>
        <w:jc w:val="center"/>
      </w:pPr>
      <w:rPr>
        <w:b/>
      </w:rPr>
      <w:tblPr/>
      <w:trPr>
        <w:tblHeader/>
      </w:trPr>
      <w:tcPr>
        <w:shd w:val="clear" w:color="auto" w:fill="C4DDF4" w:themeFill="accent1" w:themeFillTint="66"/>
      </w:tcPr>
    </w:tblStylePr>
    <w:tblStylePr w:type="band2Horz">
      <w:tblPr/>
      <w:tcPr>
        <w:shd w:val="clear" w:color="auto" w:fill="E1EEF9" w:themeFill="accent1" w:themeFillTint="33"/>
      </w:tcPr>
    </w:tblStylePr>
  </w:style>
  <w:style w:type="character" w:customStyle="1" w:styleId="Heading4Char">
    <w:name w:val="Heading 4 Char"/>
    <w:basedOn w:val="DefaultParagraphFont"/>
    <w:link w:val="Heading4"/>
    <w:uiPriority w:val="9"/>
    <w:rsid w:val="00DE32FB"/>
    <w:rPr>
      <w:rFonts w:eastAsiaTheme="majorEastAsia" w:cstheme="majorBidi"/>
      <w:b/>
      <w:iCs/>
      <w:color w:val="1E3C78" w:themeColor="text1"/>
      <w:sz w:val="24"/>
      <w:szCs w:val="20"/>
    </w:rPr>
  </w:style>
  <w:style w:type="character" w:customStyle="1" w:styleId="Heading5Char">
    <w:name w:val="Heading 5 Char"/>
    <w:basedOn w:val="DefaultParagraphFont"/>
    <w:link w:val="Heading5"/>
    <w:uiPriority w:val="9"/>
    <w:rsid w:val="00DF5D85"/>
    <w:rPr>
      <w:rFonts w:eastAsiaTheme="majorEastAsia" w:cstheme="majorBidi"/>
      <w:b/>
      <w:i/>
      <w:iCs/>
      <w:color w:val="1E3C78" w:themeColor="text1"/>
      <w:sz w:val="20"/>
      <w:szCs w:val="20"/>
    </w:rPr>
  </w:style>
  <w:style w:type="character" w:customStyle="1" w:styleId="Heading6Char">
    <w:name w:val="Heading 6 Char"/>
    <w:basedOn w:val="DefaultParagraphFont"/>
    <w:link w:val="Heading6"/>
    <w:uiPriority w:val="9"/>
    <w:rsid w:val="00DF5D85"/>
    <w:rPr>
      <w:rFonts w:eastAsiaTheme="majorEastAsia" w:cstheme="majorBidi"/>
      <w:i/>
      <w:iCs/>
      <w:color w:val="1E3C78" w:themeColor="text1"/>
      <w:sz w:val="20"/>
      <w:szCs w:val="20"/>
    </w:rPr>
  </w:style>
  <w:style w:type="character" w:customStyle="1" w:styleId="Heading7Char">
    <w:name w:val="Heading 7 Char"/>
    <w:basedOn w:val="DefaultParagraphFont"/>
    <w:link w:val="Heading7"/>
    <w:uiPriority w:val="9"/>
    <w:semiHidden/>
    <w:rsid w:val="00DE32FB"/>
    <w:rPr>
      <w:rFonts w:cs="Arial"/>
      <w:sz w:val="20"/>
      <w:szCs w:val="28"/>
    </w:rPr>
  </w:style>
  <w:style w:type="character" w:customStyle="1" w:styleId="Heading8Char">
    <w:name w:val="Heading 8 Char"/>
    <w:basedOn w:val="DefaultParagraphFont"/>
    <w:link w:val="Heading8"/>
    <w:uiPriority w:val="9"/>
    <w:semiHidden/>
    <w:rsid w:val="00DF5D85"/>
    <w:rPr>
      <w:rFonts w:eastAsiaTheme="majorEastAsia" w:cstheme="majorBidi"/>
      <w:sz w:val="20"/>
      <w:szCs w:val="21"/>
    </w:rPr>
  </w:style>
  <w:style w:type="character" w:customStyle="1" w:styleId="Heading9Char">
    <w:name w:val="Heading 9 Char"/>
    <w:basedOn w:val="DefaultParagraphFont"/>
    <w:link w:val="Heading9"/>
    <w:uiPriority w:val="9"/>
    <w:semiHidden/>
    <w:rsid w:val="00184BFC"/>
    <w:rPr>
      <w:rFonts w:asciiTheme="majorHAnsi" w:eastAsiaTheme="majorEastAsia" w:hAnsiTheme="majorHAnsi" w:cstheme="majorBidi"/>
      <w:i/>
      <w:iCs/>
      <w:sz w:val="24"/>
      <w:szCs w:val="21"/>
    </w:rPr>
  </w:style>
  <w:style w:type="paragraph" w:customStyle="1" w:styleId="AppendixHeading">
    <w:name w:val="Appendix Heading"/>
    <w:next w:val="BodyTextafterheading"/>
    <w:uiPriority w:val="10"/>
    <w:qFormat/>
    <w:rsid w:val="005B0DE7"/>
    <w:pPr>
      <w:jc w:val="center"/>
      <w:outlineLvl w:val="0"/>
    </w:pPr>
    <w:rPr>
      <w:rFonts w:asciiTheme="majorHAnsi" w:eastAsiaTheme="majorEastAsia" w:hAnsiTheme="majorHAnsi" w:cstheme="majorBidi"/>
      <w:b/>
      <w:iCs/>
      <w:sz w:val="36"/>
      <w:szCs w:val="21"/>
    </w:rPr>
  </w:style>
  <w:style w:type="paragraph" w:styleId="NoSpacing">
    <w:name w:val="No Spacing"/>
    <w:basedOn w:val="BodyText"/>
    <w:link w:val="NoSpacingChar"/>
    <w:uiPriority w:val="1"/>
    <w:qFormat/>
    <w:rsid w:val="000A7BAB"/>
    <w:pPr>
      <w:spacing w:before="0" w:line="240" w:lineRule="auto"/>
    </w:pPr>
    <w:rPr>
      <w:rFonts w:eastAsiaTheme="minorEastAsia"/>
    </w:rPr>
  </w:style>
  <w:style w:type="character" w:customStyle="1" w:styleId="NoSpacingChar">
    <w:name w:val="No Spacing Char"/>
    <w:basedOn w:val="DefaultParagraphFont"/>
    <w:link w:val="NoSpacing"/>
    <w:uiPriority w:val="99"/>
    <w:rsid w:val="000A7BAB"/>
    <w:rPr>
      <w:rFonts w:eastAsiaTheme="minorEastAsia"/>
      <w:szCs w:val="20"/>
    </w:rPr>
  </w:style>
  <w:style w:type="paragraph" w:customStyle="1" w:styleId="TableContainer">
    <w:name w:val="Table Container"/>
    <w:basedOn w:val="BodyText"/>
    <w:link w:val="TableContainerChar"/>
    <w:uiPriority w:val="99"/>
    <w:qFormat/>
    <w:rsid w:val="00612397"/>
    <w:pPr>
      <w:widowControl w:val="0"/>
    </w:pPr>
    <w:rPr>
      <w:sz w:val="20"/>
    </w:rPr>
  </w:style>
  <w:style w:type="paragraph" w:customStyle="1" w:styleId="SpaceOnly">
    <w:name w:val="Space Only"/>
    <w:basedOn w:val="BodyText"/>
    <w:next w:val="BodyText"/>
    <w:link w:val="SpaceOnlyChar"/>
    <w:uiPriority w:val="99"/>
    <w:semiHidden/>
    <w:rsid w:val="009079C1"/>
  </w:style>
  <w:style w:type="character" w:customStyle="1" w:styleId="TableContainerChar">
    <w:name w:val="Table Container Char"/>
    <w:basedOn w:val="BodyTextChar"/>
    <w:link w:val="TableContainer"/>
    <w:uiPriority w:val="99"/>
    <w:rsid w:val="004C1A20"/>
    <w:rPr>
      <w:sz w:val="20"/>
      <w:szCs w:val="20"/>
    </w:rPr>
  </w:style>
  <w:style w:type="character" w:customStyle="1" w:styleId="SpaceOnlyChar">
    <w:name w:val="Space Only Char"/>
    <w:basedOn w:val="BodyTextChar"/>
    <w:link w:val="SpaceOnly"/>
    <w:uiPriority w:val="99"/>
    <w:semiHidden/>
    <w:rsid w:val="00833F46"/>
    <w:rPr>
      <w:szCs w:val="20"/>
    </w:rPr>
  </w:style>
  <w:style w:type="paragraph" w:customStyle="1" w:styleId="Heading1-NoNumbering">
    <w:name w:val="Heading 1-No Numbering"/>
    <w:basedOn w:val="Heading1"/>
    <w:next w:val="BodyTextafterheading"/>
    <w:link w:val="Heading1-NoNumberingChar"/>
    <w:uiPriority w:val="8"/>
    <w:rsid w:val="00DE32FB"/>
    <w:pPr>
      <w:numPr>
        <w:numId w:val="0"/>
      </w:numPr>
    </w:pPr>
  </w:style>
  <w:style w:type="character" w:customStyle="1" w:styleId="Heading1-NoNumberingChar">
    <w:name w:val="Heading 1-No Numbering Char"/>
    <w:basedOn w:val="Heading1Char"/>
    <w:link w:val="Heading1-NoNumbering"/>
    <w:uiPriority w:val="8"/>
    <w:rsid w:val="00DE32FB"/>
    <w:rPr>
      <w:rFonts w:asciiTheme="majorHAnsi" w:eastAsiaTheme="majorEastAsia" w:hAnsiTheme="majorHAnsi" w:cs="Arial"/>
      <w:b/>
      <w:sz w:val="36"/>
      <w:szCs w:val="36"/>
      <w:shd w:val="clear" w:color="auto" w:fill="1E3C78" w:themeFill="text1"/>
    </w:rPr>
  </w:style>
  <w:style w:type="numbering" w:customStyle="1" w:styleId="HHSBullets">
    <w:name w:val="HHS Bullets"/>
    <w:uiPriority w:val="99"/>
    <w:rsid w:val="00D960A8"/>
    <w:pPr>
      <w:numPr>
        <w:numId w:val="1"/>
      </w:numPr>
    </w:pPr>
  </w:style>
  <w:style w:type="numbering" w:customStyle="1" w:styleId="HHSNumbering">
    <w:name w:val="HHS Numbering"/>
    <w:uiPriority w:val="99"/>
    <w:rsid w:val="00D960A8"/>
    <w:pPr>
      <w:numPr>
        <w:numId w:val="2"/>
      </w:numPr>
    </w:pPr>
  </w:style>
  <w:style w:type="paragraph" w:styleId="Revision">
    <w:name w:val="Revision"/>
    <w:hidden/>
    <w:uiPriority w:val="99"/>
    <w:semiHidden/>
    <w:rsid w:val="008F3CA8"/>
    <w:pPr>
      <w:spacing w:after="0" w:line="240" w:lineRule="auto"/>
    </w:pPr>
    <w:rPr>
      <w:szCs w:val="20"/>
    </w:rPr>
  </w:style>
  <w:style w:type="paragraph" w:styleId="ListNumber5">
    <w:name w:val="List Number 5"/>
    <w:basedOn w:val="BodyText"/>
    <w:uiPriority w:val="99"/>
    <w:semiHidden/>
    <w:unhideWhenUsed/>
    <w:rsid w:val="0096272D"/>
    <w:pPr>
      <w:numPr>
        <w:numId w:val="5"/>
      </w:numPr>
      <w:contextualSpacing/>
    </w:pPr>
  </w:style>
  <w:style w:type="paragraph" w:styleId="ListNumber4">
    <w:name w:val="List Number 4"/>
    <w:basedOn w:val="BodyText"/>
    <w:uiPriority w:val="99"/>
    <w:semiHidden/>
    <w:unhideWhenUsed/>
    <w:rsid w:val="0096272D"/>
    <w:pPr>
      <w:numPr>
        <w:numId w:val="6"/>
      </w:numPr>
      <w:contextualSpacing/>
    </w:pPr>
  </w:style>
  <w:style w:type="paragraph" w:styleId="ListNumber3">
    <w:name w:val="List Number 3"/>
    <w:basedOn w:val="BodyText"/>
    <w:uiPriority w:val="99"/>
    <w:semiHidden/>
    <w:unhideWhenUsed/>
    <w:rsid w:val="0096272D"/>
    <w:pPr>
      <w:numPr>
        <w:numId w:val="7"/>
      </w:numPr>
      <w:contextualSpacing/>
    </w:pPr>
  </w:style>
  <w:style w:type="paragraph" w:styleId="ListNumber2">
    <w:name w:val="List Number 2"/>
    <w:basedOn w:val="BodyText"/>
    <w:uiPriority w:val="99"/>
    <w:semiHidden/>
    <w:unhideWhenUsed/>
    <w:rsid w:val="0096272D"/>
    <w:pPr>
      <w:numPr>
        <w:numId w:val="8"/>
      </w:numPr>
      <w:contextualSpacing/>
    </w:pPr>
  </w:style>
  <w:style w:type="paragraph" w:styleId="ListContinue5">
    <w:name w:val="List Continue 5"/>
    <w:basedOn w:val="BodyText"/>
    <w:uiPriority w:val="99"/>
    <w:semiHidden/>
    <w:unhideWhenUsed/>
    <w:rsid w:val="0096272D"/>
    <w:pPr>
      <w:spacing w:before="120"/>
      <w:ind w:left="1800"/>
      <w:contextualSpacing/>
    </w:pPr>
  </w:style>
  <w:style w:type="paragraph" w:styleId="ListContinue4">
    <w:name w:val="List Continue 4"/>
    <w:basedOn w:val="BodyText"/>
    <w:uiPriority w:val="99"/>
    <w:semiHidden/>
    <w:unhideWhenUsed/>
    <w:rsid w:val="0096272D"/>
    <w:pPr>
      <w:spacing w:before="120"/>
      <w:ind w:left="1440"/>
      <w:contextualSpacing/>
    </w:pPr>
  </w:style>
  <w:style w:type="paragraph" w:styleId="ListContinue3">
    <w:name w:val="List Continue 3"/>
    <w:basedOn w:val="BodyText"/>
    <w:uiPriority w:val="99"/>
    <w:semiHidden/>
    <w:unhideWhenUsed/>
    <w:rsid w:val="0096272D"/>
    <w:pPr>
      <w:spacing w:before="120"/>
      <w:ind w:left="1080"/>
      <w:contextualSpacing/>
    </w:pPr>
  </w:style>
  <w:style w:type="paragraph" w:styleId="ListContinue2">
    <w:name w:val="List Continue 2"/>
    <w:basedOn w:val="BodyText"/>
    <w:uiPriority w:val="99"/>
    <w:semiHidden/>
    <w:unhideWhenUsed/>
    <w:rsid w:val="0096272D"/>
    <w:pPr>
      <w:spacing w:before="120"/>
      <w:ind w:left="720"/>
      <w:contextualSpacing/>
    </w:pPr>
  </w:style>
  <w:style w:type="paragraph" w:styleId="ListContinue">
    <w:name w:val="List Continue"/>
    <w:basedOn w:val="BodyText"/>
    <w:uiPriority w:val="99"/>
    <w:unhideWhenUsed/>
    <w:rsid w:val="0096272D"/>
    <w:pPr>
      <w:spacing w:before="120"/>
      <w:ind w:left="360"/>
      <w:contextualSpacing/>
    </w:pPr>
  </w:style>
  <w:style w:type="paragraph" w:styleId="ListBullet5">
    <w:name w:val="List Bullet 5"/>
    <w:basedOn w:val="BodyText"/>
    <w:uiPriority w:val="99"/>
    <w:semiHidden/>
    <w:unhideWhenUsed/>
    <w:rsid w:val="0096272D"/>
    <w:pPr>
      <w:numPr>
        <w:numId w:val="9"/>
      </w:numPr>
      <w:contextualSpacing/>
    </w:pPr>
  </w:style>
  <w:style w:type="paragraph" w:styleId="ListBullet4">
    <w:name w:val="List Bullet 4"/>
    <w:basedOn w:val="BodyText"/>
    <w:uiPriority w:val="99"/>
    <w:semiHidden/>
    <w:unhideWhenUsed/>
    <w:rsid w:val="0096272D"/>
    <w:pPr>
      <w:numPr>
        <w:numId w:val="10"/>
      </w:numPr>
      <w:contextualSpacing/>
    </w:pPr>
  </w:style>
  <w:style w:type="paragraph" w:styleId="ListBullet3">
    <w:name w:val="List Bullet 3"/>
    <w:basedOn w:val="BodyText"/>
    <w:uiPriority w:val="99"/>
    <w:semiHidden/>
    <w:unhideWhenUsed/>
    <w:rsid w:val="0096272D"/>
    <w:pPr>
      <w:numPr>
        <w:numId w:val="11"/>
      </w:numPr>
      <w:contextualSpacing/>
    </w:pPr>
  </w:style>
  <w:style w:type="paragraph" w:styleId="ListBullet2">
    <w:name w:val="List Bullet 2"/>
    <w:basedOn w:val="BodyText"/>
    <w:uiPriority w:val="99"/>
    <w:semiHidden/>
    <w:unhideWhenUsed/>
    <w:rsid w:val="0096272D"/>
    <w:pPr>
      <w:numPr>
        <w:numId w:val="12"/>
      </w:numPr>
      <w:contextualSpacing/>
    </w:pPr>
  </w:style>
  <w:style w:type="paragraph" w:styleId="List5">
    <w:name w:val="List 5"/>
    <w:basedOn w:val="BodyText"/>
    <w:uiPriority w:val="99"/>
    <w:semiHidden/>
    <w:unhideWhenUsed/>
    <w:rsid w:val="0096272D"/>
    <w:pPr>
      <w:ind w:left="1800" w:hanging="360"/>
      <w:contextualSpacing/>
    </w:pPr>
  </w:style>
  <w:style w:type="paragraph" w:styleId="List4">
    <w:name w:val="List 4"/>
    <w:basedOn w:val="BodyText"/>
    <w:uiPriority w:val="99"/>
    <w:semiHidden/>
    <w:unhideWhenUsed/>
    <w:rsid w:val="0096272D"/>
    <w:pPr>
      <w:ind w:left="1440" w:hanging="360"/>
      <w:contextualSpacing/>
    </w:pPr>
  </w:style>
  <w:style w:type="paragraph" w:styleId="List3">
    <w:name w:val="List 3"/>
    <w:basedOn w:val="BodyText"/>
    <w:uiPriority w:val="99"/>
    <w:semiHidden/>
    <w:unhideWhenUsed/>
    <w:rsid w:val="0096272D"/>
    <w:pPr>
      <w:ind w:left="1080" w:hanging="360"/>
      <w:contextualSpacing/>
    </w:pPr>
  </w:style>
  <w:style w:type="paragraph" w:styleId="List2">
    <w:name w:val="List 2"/>
    <w:basedOn w:val="BodyText"/>
    <w:uiPriority w:val="99"/>
    <w:unhideWhenUsed/>
    <w:rsid w:val="0096272D"/>
    <w:pPr>
      <w:ind w:left="720" w:hanging="360"/>
      <w:contextualSpacing/>
    </w:pPr>
  </w:style>
  <w:style w:type="paragraph" w:styleId="List">
    <w:name w:val="List"/>
    <w:basedOn w:val="BodyText"/>
    <w:uiPriority w:val="99"/>
    <w:semiHidden/>
    <w:unhideWhenUsed/>
    <w:rsid w:val="0096272D"/>
    <w:pPr>
      <w:ind w:left="360" w:hanging="360"/>
      <w:contextualSpacing/>
    </w:pPr>
  </w:style>
  <w:style w:type="character" w:styleId="LineNumber">
    <w:name w:val="line number"/>
    <w:uiPriority w:val="99"/>
    <w:semiHidden/>
    <w:unhideWhenUsed/>
    <w:rsid w:val="0096272D"/>
  </w:style>
  <w:style w:type="character" w:styleId="IntenseReference">
    <w:name w:val="Intense Reference"/>
    <w:uiPriority w:val="99"/>
    <w:semiHidden/>
    <w:qFormat/>
    <w:rsid w:val="0096272D"/>
    <w:rPr>
      <w:b/>
      <w:bCs/>
      <w:smallCaps/>
      <w:color w:val="6DABE4" w:themeColor="accent1"/>
      <w:spacing w:val="5"/>
    </w:rPr>
  </w:style>
  <w:style w:type="paragraph" w:styleId="IntenseQuote">
    <w:name w:val="Intense Quote"/>
    <w:basedOn w:val="Quote"/>
    <w:next w:val="BodyText"/>
    <w:link w:val="IntenseQuoteChar"/>
    <w:uiPriority w:val="99"/>
    <w:semiHidden/>
    <w:qFormat/>
    <w:rsid w:val="0096272D"/>
    <w:pPr>
      <w:pBdr>
        <w:top w:val="single" w:sz="4" w:space="10" w:color="6DABE4" w:themeColor="accent1"/>
        <w:bottom w:val="single" w:sz="4" w:space="10" w:color="6DABE4" w:themeColor="accent1"/>
      </w:pBdr>
    </w:pPr>
    <w:rPr>
      <w:i/>
      <w:iCs w:val="0"/>
      <w:color w:val="6DABE4" w:themeColor="accent1"/>
    </w:rPr>
  </w:style>
  <w:style w:type="character" w:customStyle="1" w:styleId="IntenseQuoteChar">
    <w:name w:val="Intense Quote Char"/>
    <w:basedOn w:val="DefaultParagraphFont"/>
    <w:link w:val="IntenseQuote"/>
    <w:uiPriority w:val="99"/>
    <w:semiHidden/>
    <w:rsid w:val="0096272D"/>
    <w:rPr>
      <w:color w:val="6DABE4" w:themeColor="accent1"/>
      <w:szCs w:val="20"/>
    </w:rPr>
  </w:style>
  <w:style w:type="paragraph" w:styleId="Quote">
    <w:name w:val="Quote"/>
    <w:basedOn w:val="BodyText"/>
    <w:next w:val="BodyText"/>
    <w:link w:val="QuoteChar"/>
    <w:uiPriority w:val="29"/>
    <w:semiHidden/>
    <w:unhideWhenUsed/>
    <w:rsid w:val="00670F82"/>
    <w:pPr>
      <w:pBdr>
        <w:left w:val="single" w:sz="18" w:space="12" w:color="527DD3" w:themeColor="text1" w:themeTint="99"/>
      </w:pBdr>
      <w:spacing w:before="360" w:after="360"/>
      <w:ind w:left="864" w:right="864"/>
      <w:contextualSpacing/>
    </w:pPr>
    <w:rPr>
      <w:iCs/>
      <w:color w:val="3060C0" w:themeColor="text1" w:themeTint="BF"/>
    </w:rPr>
  </w:style>
  <w:style w:type="character" w:customStyle="1" w:styleId="QuoteChar">
    <w:name w:val="Quote Char"/>
    <w:basedOn w:val="DefaultParagraphFont"/>
    <w:link w:val="Quote"/>
    <w:uiPriority w:val="29"/>
    <w:semiHidden/>
    <w:rsid w:val="00670F82"/>
    <w:rPr>
      <w:iCs/>
      <w:color w:val="3060C0" w:themeColor="text1" w:themeTint="BF"/>
      <w:szCs w:val="20"/>
    </w:rPr>
  </w:style>
  <w:style w:type="character" w:styleId="IntenseEmphasis">
    <w:name w:val="Intense Emphasis"/>
    <w:uiPriority w:val="99"/>
    <w:semiHidden/>
    <w:qFormat/>
    <w:rsid w:val="0096272D"/>
    <w:rPr>
      <w:i/>
      <w:iCs/>
      <w:color w:val="6DABE4" w:themeColor="accent1"/>
    </w:rPr>
  </w:style>
  <w:style w:type="paragraph" w:styleId="Index1">
    <w:name w:val="index 1"/>
    <w:basedOn w:val="BodyText"/>
    <w:uiPriority w:val="99"/>
    <w:semiHidden/>
    <w:unhideWhenUsed/>
    <w:rsid w:val="0096272D"/>
    <w:pPr>
      <w:ind w:left="220" w:hanging="220"/>
    </w:pPr>
  </w:style>
  <w:style w:type="paragraph" w:styleId="IndexHeading">
    <w:name w:val="index heading"/>
    <w:basedOn w:val="BodyText"/>
    <w:next w:val="Index1"/>
    <w:uiPriority w:val="99"/>
    <w:semiHidden/>
    <w:unhideWhenUsed/>
    <w:rsid w:val="0096272D"/>
    <w:rPr>
      <w:rFonts w:asciiTheme="majorHAnsi" w:eastAsiaTheme="majorEastAsia" w:hAnsiTheme="majorHAnsi" w:cstheme="majorBidi"/>
      <w:b/>
      <w:bCs/>
    </w:rPr>
  </w:style>
  <w:style w:type="paragraph" w:styleId="Index9">
    <w:name w:val="index 9"/>
    <w:basedOn w:val="BodyText"/>
    <w:uiPriority w:val="99"/>
    <w:semiHidden/>
    <w:unhideWhenUsed/>
    <w:rsid w:val="0096272D"/>
    <w:pPr>
      <w:ind w:left="1980" w:hanging="220"/>
    </w:pPr>
  </w:style>
  <w:style w:type="paragraph" w:styleId="Index8">
    <w:name w:val="index 8"/>
    <w:basedOn w:val="BodyText"/>
    <w:uiPriority w:val="99"/>
    <w:semiHidden/>
    <w:unhideWhenUsed/>
    <w:rsid w:val="0096272D"/>
    <w:pPr>
      <w:ind w:left="1760" w:hanging="220"/>
    </w:pPr>
  </w:style>
  <w:style w:type="paragraph" w:styleId="Index7">
    <w:name w:val="index 7"/>
    <w:basedOn w:val="BodyText"/>
    <w:uiPriority w:val="99"/>
    <w:semiHidden/>
    <w:unhideWhenUsed/>
    <w:rsid w:val="0096272D"/>
    <w:pPr>
      <w:spacing w:line="240" w:lineRule="auto"/>
      <w:ind w:left="1540" w:hanging="220"/>
    </w:pPr>
  </w:style>
  <w:style w:type="paragraph" w:styleId="Index6">
    <w:name w:val="index 6"/>
    <w:basedOn w:val="BodyText"/>
    <w:uiPriority w:val="99"/>
    <w:semiHidden/>
    <w:unhideWhenUsed/>
    <w:rsid w:val="0096272D"/>
    <w:pPr>
      <w:ind w:left="1320" w:hanging="220"/>
    </w:pPr>
  </w:style>
  <w:style w:type="paragraph" w:styleId="Index5">
    <w:name w:val="index 5"/>
    <w:basedOn w:val="BodyText"/>
    <w:uiPriority w:val="99"/>
    <w:semiHidden/>
    <w:unhideWhenUsed/>
    <w:rsid w:val="0096272D"/>
    <w:pPr>
      <w:ind w:left="1100" w:hanging="220"/>
    </w:pPr>
  </w:style>
  <w:style w:type="paragraph" w:styleId="Index4">
    <w:name w:val="index 4"/>
    <w:basedOn w:val="BodyText"/>
    <w:uiPriority w:val="99"/>
    <w:semiHidden/>
    <w:unhideWhenUsed/>
    <w:rsid w:val="0096272D"/>
    <w:pPr>
      <w:ind w:left="880" w:hanging="220"/>
    </w:pPr>
  </w:style>
  <w:style w:type="paragraph" w:styleId="Index3">
    <w:name w:val="index 3"/>
    <w:basedOn w:val="BodyText"/>
    <w:uiPriority w:val="99"/>
    <w:semiHidden/>
    <w:unhideWhenUsed/>
    <w:rsid w:val="0096272D"/>
    <w:pPr>
      <w:ind w:left="660" w:hanging="220"/>
    </w:pPr>
  </w:style>
  <w:style w:type="paragraph" w:styleId="Index2">
    <w:name w:val="index 2"/>
    <w:basedOn w:val="BodyText"/>
    <w:uiPriority w:val="99"/>
    <w:semiHidden/>
    <w:unhideWhenUsed/>
    <w:rsid w:val="0096272D"/>
    <w:pPr>
      <w:ind w:left="440" w:hanging="220"/>
    </w:pPr>
  </w:style>
  <w:style w:type="character" w:styleId="SubtleReference">
    <w:name w:val="Subtle Reference"/>
    <w:uiPriority w:val="99"/>
    <w:semiHidden/>
    <w:rsid w:val="000A7BAB"/>
    <w:rPr>
      <w:smallCaps/>
      <w:color w:val="4473D0" w:themeColor="text1" w:themeTint="A5"/>
    </w:rPr>
  </w:style>
  <w:style w:type="character" w:styleId="SubtleEmphasis">
    <w:name w:val="Subtle Emphasis"/>
    <w:uiPriority w:val="99"/>
    <w:semiHidden/>
    <w:rsid w:val="000A7BAB"/>
    <w:rPr>
      <w:i/>
      <w:iCs/>
      <w:color w:val="3060C0" w:themeColor="text1" w:themeTint="BF"/>
    </w:rPr>
  </w:style>
  <w:style w:type="paragraph" w:styleId="Signature">
    <w:name w:val="Signature"/>
    <w:basedOn w:val="BodyText"/>
    <w:link w:val="SignatureChar"/>
    <w:uiPriority w:val="99"/>
    <w:semiHidden/>
    <w:unhideWhenUsed/>
    <w:rsid w:val="000A7BAB"/>
    <w:pPr>
      <w:spacing w:before="600" w:line="240" w:lineRule="auto"/>
      <w:ind w:left="4320"/>
    </w:pPr>
  </w:style>
  <w:style w:type="character" w:customStyle="1" w:styleId="SignatureChar">
    <w:name w:val="Signature Char"/>
    <w:basedOn w:val="DefaultParagraphFont"/>
    <w:link w:val="Signature"/>
    <w:uiPriority w:val="99"/>
    <w:semiHidden/>
    <w:rsid w:val="000A7BAB"/>
    <w:rPr>
      <w:szCs w:val="20"/>
    </w:rPr>
  </w:style>
  <w:style w:type="paragraph" w:styleId="Salutation">
    <w:name w:val="Salutation"/>
    <w:basedOn w:val="BodyText"/>
    <w:next w:val="BodyText"/>
    <w:link w:val="SalutationChar"/>
    <w:uiPriority w:val="99"/>
    <w:semiHidden/>
    <w:unhideWhenUsed/>
    <w:rsid w:val="000A7BAB"/>
  </w:style>
  <w:style w:type="character" w:customStyle="1" w:styleId="SalutationChar">
    <w:name w:val="Salutation Char"/>
    <w:basedOn w:val="DefaultParagraphFont"/>
    <w:link w:val="Salutation"/>
    <w:uiPriority w:val="99"/>
    <w:semiHidden/>
    <w:rsid w:val="000A7BAB"/>
    <w:rPr>
      <w:szCs w:val="20"/>
    </w:rPr>
  </w:style>
  <w:style w:type="paragraph" w:styleId="NoteHeading">
    <w:name w:val="Note Heading"/>
    <w:basedOn w:val="BodyText"/>
    <w:next w:val="BodyText"/>
    <w:link w:val="NoteHeadingChar"/>
    <w:uiPriority w:val="99"/>
    <w:semiHidden/>
    <w:unhideWhenUsed/>
    <w:rsid w:val="000A7BAB"/>
    <w:rPr>
      <w:b/>
    </w:rPr>
  </w:style>
  <w:style w:type="character" w:customStyle="1" w:styleId="NoteHeadingChar">
    <w:name w:val="Note Heading Char"/>
    <w:basedOn w:val="DefaultParagraphFont"/>
    <w:link w:val="NoteHeading"/>
    <w:uiPriority w:val="99"/>
    <w:semiHidden/>
    <w:rsid w:val="000A7BAB"/>
    <w:rPr>
      <w:b/>
      <w:szCs w:val="20"/>
    </w:rPr>
  </w:style>
  <w:style w:type="paragraph" w:styleId="NormalIndent">
    <w:name w:val="Normal Indent"/>
    <w:basedOn w:val="Normal"/>
    <w:uiPriority w:val="99"/>
    <w:semiHidden/>
    <w:unhideWhenUsed/>
    <w:rsid w:val="000A7BAB"/>
    <w:pPr>
      <w:ind w:left="720"/>
    </w:pPr>
  </w:style>
  <w:style w:type="paragraph" w:styleId="NormalWeb">
    <w:name w:val="Normal (Web)"/>
    <w:basedOn w:val="Normal"/>
    <w:uiPriority w:val="99"/>
    <w:semiHidden/>
    <w:unhideWhenUsed/>
    <w:rsid w:val="000A7BAB"/>
    <w:rPr>
      <w:rFonts w:cs="Times New Roman"/>
      <w:sz w:val="24"/>
      <w:szCs w:val="24"/>
    </w:rPr>
  </w:style>
  <w:style w:type="paragraph" w:styleId="MessageHeader">
    <w:name w:val="Message Header"/>
    <w:basedOn w:val="BodyText"/>
    <w:link w:val="MessageHeaderChar"/>
    <w:uiPriority w:val="99"/>
    <w:semiHidden/>
    <w:unhideWhenUsed/>
    <w:rsid w:val="000A7BAB"/>
    <w:pPr>
      <w:pBdr>
        <w:top w:val="single" w:sz="6" w:space="1" w:color="auto"/>
        <w:left w:val="single" w:sz="6" w:space="1" w:color="auto"/>
        <w:bottom w:val="single" w:sz="6" w:space="1" w:color="auto"/>
        <w:right w:val="single" w:sz="6" w:space="1" w:color="auto"/>
      </w:pBdr>
      <w:shd w:val="pct20" w:color="auto" w:fill="auto"/>
      <w:spacing w:before="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0A7BAB"/>
    <w:rPr>
      <w:rFonts w:asciiTheme="majorHAnsi" w:eastAsiaTheme="majorEastAsia" w:hAnsiTheme="majorHAnsi" w:cstheme="majorBidi"/>
      <w:sz w:val="24"/>
      <w:szCs w:val="24"/>
      <w:shd w:val="pct20" w:color="auto" w:fill="auto"/>
    </w:rPr>
  </w:style>
  <w:style w:type="paragraph" w:styleId="MacroText">
    <w:name w:val="macro"/>
    <w:link w:val="MacroTextChar"/>
    <w:uiPriority w:val="99"/>
    <w:semiHidden/>
    <w:unhideWhenUsed/>
    <w:rsid w:val="000A7BAB"/>
    <w:pPr>
      <w:tabs>
        <w:tab w:val="left" w:pos="480"/>
        <w:tab w:val="left" w:pos="960"/>
        <w:tab w:val="left" w:pos="1440"/>
        <w:tab w:val="left" w:pos="1920"/>
        <w:tab w:val="left" w:pos="2400"/>
        <w:tab w:val="left" w:pos="2880"/>
        <w:tab w:val="left" w:pos="3360"/>
        <w:tab w:val="left" w:pos="3840"/>
        <w:tab w:val="left" w:pos="4320"/>
      </w:tabs>
      <w:spacing w:before="240" w:after="0"/>
    </w:pPr>
    <w:rPr>
      <w:rFonts w:ascii="Consolas" w:hAnsi="Consolas" w:cs="Consolas"/>
      <w:sz w:val="20"/>
      <w:szCs w:val="20"/>
    </w:rPr>
  </w:style>
  <w:style w:type="character" w:customStyle="1" w:styleId="MacroTextChar">
    <w:name w:val="Macro Text Char"/>
    <w:basedOn w:val="DefaultParagraphFont"/>
    <w:link w:val="MacroText"/>
    <w:uiPriority w:val="99"/>
    <w:semiHidden/>
    <w:rsid w:val="000A7BAB"/>
    <w:rPr>
      <w:rFonts w:ascii="Consolas" w:hAnsi="Consolas" w:cs="Consolas"/>
      <w:sz w:val="20"/>
      <w:szCs w:val="20"/>
    </w:rPr>
  </w:style>
  <w:style w:type="paragraph" w:styleId="TOC4">
    <w:name w:val="toc 4"/>
    <w:basedOn w:val="TOC3"/>
    <w:autoRedefine/>
    <w:uiPriority w:val="39"/>
    <w:semiHidden/>
    <w:unhideWhenUsed/>
    <w:rsid w:val="00670F82"/>
    <w:pPr>
      <w:ind w:left="1440"/>
    </w:pPr>
  </w:style>
  <w:style w:type="paragraph" w:styleId="TOC5">
    <w:name w:val="toc 5"/>
    <w:basedOn w:val="TOC4"/>
    <w:autoRedefine/>
    <w:uiPriority w:val="39"/>
    <w:semiHidden/>
    <w:unhideWhenUsed/>
    <w:rsid w:val="00670F82"/>
    <w:pPr>
      <w:ind w:left="1800"/>
    </w:pPr>
  </w:style>
  <w:style w:type="paragraph" w:styleId="TOC6">
    <w:name w:val="toc 6"/>
    <w:basedOn w:val="TOC5"/>
    <w:autoRedefine/>
    <w:uiPriority w:val="39"/>
    <w:semiHidden/>
    <w:unhideWhenUsed/>
    <w:rsid w:val="00670F82"/>
    <w:pPr>
      <w:ind w:left="2160"/>
    </w:pPr>
  </w:style>
  <w:style w:type="paragraph" w:styleId="TOC7">
    <w:name w:val="toc 7"/>
    <w:basedOn w:val="TOC6"/>
    <w:autoRedefine/>
    <w:uiPriority w:val="39"/>
    <w:semiHidden/>
    <w:unhideWhenUsed/>
    <w:rsid w:val="00670F82"/>
    <w:pPr>
      <w:ind w:left="2520"/>
    </w:pPr>
  </w:style>
  <w:style w:type="paragraph" w:styleId="TOC8">
    <w:name w:val="toc 8"/>
    <w:basedOn w:val="TOC7"/>
    <w:autoRedefine/>
    <w:uiPriority w:val="39"/>
    <w:semiHidden/>
    <w:unhideWhenUsed/>
    <w:rsid w:val="00670F82"/>
    <w:pPr>
      <w:ind w:left="2880"/>
    </w:pPr>
  </w:style>
  <w:style w:type="paragraph" w:styleId="TOC9">
    <w:name w:val="toc 9"/>
    <w:basedOn w:val="TOC8"/>
    <w:autoRedefine/>
    <w:uiPriority w:val="39"/>
    <w:semiHidden/>
    <w:unhideWhenUsed/>
    <w:rsid w:val="00670F82"/>
    <w:pPr>
      <w:ind w:left="3240"/>
    </w:pPr>
  </w:style>
  <w:style w:type="paragraph" w:styleId="Bibliography">
    <w:name w:val="Bibliography"/>
    <w:basedOn w:val="List"/>
    <w:uiPriority w:val="37"/>
    <w:semiHidden/>
    <w:unhideWhenUsed/>
    <w:rsid w:val="00670F82"/>
  </w:style>
  <w:style w:type="character" w:styleId="BookTitle">
    <w:name w:val="Book Title"/>
    <w:uiPriority w:val="94"/>
    <w:unhideWhenUsed/>
    <w:qFormat/>
    <w:rsid w:val="00670F82"/>
    <w:rPr>
      <w:b w:val="0"/>
      <w:bCs/>
      <w:i w:val="0"/>
      <w:iCs/>
      <w:caps w:val="0"/>
      <w:smallCaps/>
      <w:spacing w:val="5"/>
    </w:rPr>
  </w:style>
  <w:style w:type="table" w:styleId="TableGridLight">
    <w:name w:val="Grid Table Light"/>
    <w:basedOn w:val="TableNormal"/>
    <w:uiPriority w:val="40"/>
    <w:rsid w:val="0060686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Appendixes">
    <w:name w:val="Appendixes"/>
    <w:uiPriority w:val="99"/>
    <w:rsid w:val="00292302"/>
    <w:pPr>
      <w:numPr>
        <w:numId w:val="13"/>
      </w:numPr>
    </w:pPr>
  </w:style>
  <w:style w:type="numbering" w:customStyle="1" w:styleId="HHSHeadingNumbering">
    <w:name w:val="HHS Heading Numbering"/>
    <w:uiPriority w:val="99"/>
    <w:rsid w:val="00C5571B"/>
    <w:pPr>
      <w:numPr>
        <w:numId w:val="14"/>
      </w:numPr>
    </w:pPr>
  </w:style>
  <w:style w:type="paragraph" w:customStyle="1" w:styleId="BodyTextafterheading">
    <w:name w:val="Body Text after heading"/>
    <w:basedOn w:val="BodyText"/>
    <w:next w:val="BodyText"/>
    <w:link w:val="BodyTextafterheadingChar"/>
    <w:semiHidden/>
    <w:qFormat/>
    <w:rsid w:val="006F51A3"/>
    <w:pPr>
      <w:spacing w:before="120"/>
    </w:pPr>
  </w:style>
  <w:style w:type="character" w:customStyle="1" w:styleId="BodyTextafterheadingChar">
    <w:name w:val="Body Text after heading Char"/>
    <w:basedOn w:val="BodyTextChar"/>
    <w:link w:val="BodyTextafterheading"/>
    <w:semiHidden/>
    <w:rsid w:val="00E732C6"/>
    <w:rPr>
      <w:szCs w:val="20"/>
    </w:rPr>
  </w:style>
  <w:style w:type="character" w:customStyle="1" w:styleId="ListParagraphChar">
    <w:name w:val="List Paragraph Char"/>
    <w:aliases w:val="Level 2 List Char,Response Bullets Char,Bullet Two Char,Dot pt Char,F5 List Paragraph Char,No Spacing1 Char,List Paragraph Char Char Char Char,Indicator Text Char,Numbered Para 1 Char,Bullet 1 Char,Bullet Points Char,3 Char"/>
    <w:link w:val="ListParagraph"/>
    <w:uiPriority w:val="99"/>
    <w:locked/>
    <w:rsid w:val="000A126D"/>
    <w:rPr>
      <w:szCs w:val="20"/>
    </w:rPr>
  </w:style>
  <w:style w:type="paragraph" w:customStyle="1" w:styleId="TableText">
    <w:name w:val="Table Text"/>
    <w:basedOn w:val="Normal"/>
    <w:rsid w:val="009119B2"/>
    <w:pPr>
      <w:spacing w:before="0" w:line="240" w:lineRule="auto"/>
    </w:pPr>
    <w:rPr>
      <w:rFonts w:ascii="Arial" w:hAnsi="Arial" w:cs="Arial"/>
      <w:sz w:val="18"/>
      <w:szCs w:val="18"/>
    </w:rPr>
  </w:style>
  <w:style w:type="paragraph" w:customStyle="1" w:styleId="StandardL1">
    <w:name w:val="Standard_L1"/>
    <w:basedOn w:val="Normal"/>
    <w:rsid w:val="009119B2"/>
    <w:pPr>
      <w:keepNext/>
      <w:numPr>
        <w:numId w:val="16"/>
      </w:numPr>
      <w:spacing w:before="0" w:after="240" w:line="240" w:lineRule="auto"/>
      <w:outlineLvl w:val="0"/>
    </w:pPr>
    <w:rPr>
      <w:rFonts w:eastAsiaTheme="minorEastAsia" w:cs="Times New Roman"/>
      <w:b/>
    </w:rPr>
  </w:style>
  <w:style w:type="paragraph" w:customStyle="1" w:styleId="StandardL2">
    <w:name w:val="Standard_L2"/>
    <w:basedOn w:val="StandardL1"/>
    <w:rsid w:val="009119B2"/>
    <w:pPr>
      <w:keepNext w:val="0"/>
      <w:numPr>
        <w:ilvl w:val="1"/>
      </w:numPr>
      <w:outlineLvl w:val="1"/>
    </w:pPr>
    <w:rPr>
      <w:b w:val="0"/>
    </w:rPr>
  </w:style>
  <w:style w:type="character" w:customStyle="1" w:styleId="StandardL3Char">
    <w:name w:val="Standard_L3 Char"/>
    <w:link w:val="StandardL3"/>
    <w:locked/>
    <w:rsid w:val="009119B2"/>
    <w:rPr>
      <w:rFonts w:ascii="Times New Roman" w:eastAsiaTheme="minorEastAsia" w:hAnsi="Times New Roman" w:cs="Times New Roman"/>
      <w:sz w:val="24"/>
    </w:rPr>
  </w:style>
  <w:style w:type="paragraph" w:customStyle="1" w:styleId="StandardL3">
    <w:name w:val="Standard_L3"/>
    <w:basedOn w:val="StandardL2"/>
    <w:link w:val="StandardL3Char"/>
    <w:rsid w:val="009119B2"/>
    <w:pPr>
      <w:numPr>
        <w:ilvl w:val="2"/>
      </w:numPr>
      <w:contextualSpacing/>
      <w:outlineLvl w:val="2"/>
    </w:pPr>
    <w:rPr>
      <w:rFonts w:ascii="Times New Roman" w:hAnsi="Times New Roman"/>
      <w:sz w:val="24"/>
      <w:szCs w:val="22"/>
    </w:rPr>
  </w:style>
  <w:style w:type="paragraph" w:customStyle="1" w:styleId="StandardL4">
    <w:name w:val="Standard_L4"/>
    <w:basedOn w:val="StandardL3"/>
    <w:link w:val="StandardL4Char"/>
    <w:rsid w:val="009119B2"/>
    <w:pPr>
      <w:numPr>
        <w:ilvl w:val="3"/>
      </w:numPr>
      <w:tabs>
        <w:tab w:val="clear" w:pos="2160"/>
        <w:tab w:val="num" w:pos="360"/>
      </w:tabs>
      <w:ind w:left="2568" w:hanging="360"/>
      <w:outlineLvl w:val="3"/>
    </w:pPr>
  </w:style>
  <w:style w:type="paragraph" w:customStyle="1" w:styleId="StandardL5">
    <w:name w:val="Standard_L5"/>
    <w:basedOn w:val="StandardL4"/>
    <w:rsid w:val="009119B2"/>
    <w:pPr>
      <w:numPr>
        <w:ilvl w:val="4"/>
      </w:numPr>
      <w:tabs>
        <w:tab w:val="clear" w:pos="3600"/>
        <w:tab w:val="num" w:pos="360"/>
        <w:tab w:val="num" w:pos="1080"/>
      </w:tabs>
      <w:ind w:left="3288" w:hanging="720"/>
      <w:outlineLvl w:val="4"/>
    </w:pPr>
  </w:style>
  <w:style w:type="paragraph" w:customStyle="1" w:styleId="StandardL6">
    <w:name w:val="Standard_L6"/>
    <w:basedOn w:val="StandardL5"/>
    <w:rsid w:val="009119B2"/>
    <w:pPr>
      <w:numPr>
        <w:ilvl w:val="5"/>
      </w:numPr>
      <w:tabs>
        <w:tab w:val="clear" w:pos="4320"/>
        <w:tab w:val="num" w:pos="360"/>
        <w:tab w:val="num" w:pos="1080"/>
      </w:tabs>
      <w:ind w:left="4008" w:hanging="180"/>
      <w:outlineLvl w:val="5"/>
    </w:pPr>
  </w:style>
  <w:style w:type="paragraph" w:customStyle="1" w:styleId="StandardL7">
    <w:name w:val="Standard_L7"/>
    <w:basedOn w:val="StandardL6"/>
    <w:rsid w:val="009119B2"/>
    <w:pPr>
      <w:numPr>
        <w:ilvl w:val="6"/>
      </w:numPr>
      <w:tabs>
        <w:tab w:val="clear" w:pos="5040"/>
        <w:tab w:val="num" w:pos="360"/>
        <w:tab w:val="num" w:pos="1080"/>
      </w:tabs>
      <w:ind w:left="4728" w:hanging="360"/>
      <w:outlineLvl w:val="6"/>
    </w:pPr>
  </w:style>
  <w:style w:type="paragraph" w:customStyle="1" w:styleId="StandardL8">
    <w:name w:val="Standard_L8"/>
    <w:basedOn w:val="StandardL7"/>
    <w:rsid w:val="009119B2"/>
    <w:pPr>
      <w:numPr>
        <w:ilvl w:val="7"/>
      </w:numPr>
      <w:tabs>
        <w:tab w:val="clear" w:pos="5760"/>
        <w:tab w:val="num" w:pos="360"/>
        <w:tab w:val="num" w:pos="1080"/>
      </w:tabs>
      <w:ind w:left="5448" w:hanging="720"/>
      <w:outlineLvl w:val="7"/>
    </w:pPr>
  </w:style>
  <w:style w:type="paragraph" w:customStyle="1" w:styleId="StandardL9">
    <w:name w:val="Standard_L9"/>
    <w:basedOn w:val="StandardL8"/>
    <w:rsid w:val="009119B2"/>
    <w:pPr>
      <w:numPr>
        <w:ilvl w:val="8"/>
      </w:numPr>
      <w:tabs>
        <w:tab w:val="clear" w:pos="6480"/>
        <w:tab w:val="num" w:pos="360"/>
        <w:tab w:val="num" w:pos="1080"/>
      </w:tabs>
      <w:ind w:left="6168" w:hanging="180"/>
      <w:outlineLvl w:val="8"/>
    </w:pPr>
  </w:style>
  <w:style w:type="character" w:customStyle="1" w:styleId="StandardL4Char">
    <w:name w:val="Standard_L4 Char"/>
    <w:basedOn w:val="DefaultParagraphFont"/>
    <w:link w:val="StandardL4"/>
    <w:rsid w:val="009119B2"/>
    <w:rPr>
      <w:rFonts w:ascii="Times New Roman" w:eastAsiaTheme="minorEastAsia" w:hAnsi="Times New Roman" w:cs="Times New Roman"/>
      <w:sz w:val="24"/>
    </w:rPr>
  </w:style>
  <w:style w:type="table" w:styleId="ListTable3-Accent1">
    <w:name w:val="List Table 3 Accent 1"/>
    <w:basedOn w:val="TableNormal"/>
    <w:uiPriority w:val="48"/>
    <w:rsid w:val="005B0DE7"/>
    <w:pPr>
      <w:spacing w:after="0" w:line="240" w:lineRule="auto"/>
    </w:pPr>
    <w:tblPr>
      <w:tblStyleRowBandSize w:val="1"/>
      <w:tblStyleColBandSize w:val="1"/>
      <w:tblBorders>
        <w:top w:val="single" w:sz="4" w:space="0" w:color="6DABE4" w:themeColor="accent1"/>
        <w:left w:val="single" w:sz="4" w:space="0" w:color="6DABE4" w:themeColor="accent1"/>
        <w:bottom w:val="single" w:sz="4" w:space="0" w:color="6DABE4" w:themeColor="accent1"/>
        <w:right w:val="single" w:sz="4" w:space="0" w:color="6DABE4" w:themeColor="accent1"/>
      </w:tblBorders>
    </w:tblPr>
    <w:tblStylePr w:type="firstRow">
      <w:rPr>
        <w:b/>
        <w:bCs/>
        <w:color w:val="FFFFFF" w:themeColor="background1"/>
      </w:rPr>
      <w:tblPr/>
      <w:tcPr>
        <w:shd w:val="clear" w:color="auto" w:fill="6DABE4" w:themeFill="accent1"/>
      </w:tcPr>
    </w:tblStylePr>
    <w:tblStylePr w:type="lastRow">
      <w:rPr>
        <w:b/>
        <w:bCs/>
      </w:rPr>
      <w:tblPr/>
      <w:tcPr>
        <w:tcBorders>
          <w:top w:val="double" w:sz="4" w:space="0" w:color="6DABE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6DABE4" w:themeColor="accent1"/>
          <w:right w:val="single" w:sz="4" w:space="0" w:color="6DABE4" w:themeColor="accent1"/>
        </w:tcBorders>
      </w:tcPr>
    </w:tblStylePr>
    <w:tblStylePr w:type="band1Horz">
      <w:tblPr/>
      <w:tcPr>
        <w:tcBorders>
          <w:top w:val="single" w:sz="4" w:space="0" w:color="6DABE4" w:themeColor="accent1"/>
          <w:bottom w:val="single" w:sz="4" w:space="0" w:color="6DABE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DABE4" w:themeColor="accent1"/>
          <w:left w:val="nil"/>
        </w:tcBorders>
      </w:tcPr>
    </w:tblStylePr>
    <w:tblStylePr w:type="swCell">
      <w:tblPr/>
      <w:tcPr>
        <w:tcBorders>
          <w:top w:val="double" w:sz="4" w:space="0" w:color="6DABE4" w:themeColor="accent1"/>
          <w:right w:val="nil"/>
        </w:tcBorders>
      </w:tcPr>
    </w:tblStylePr>
  </w:style>
  <w:style w:type="paragraph" w:customStyle="1" w:styleId="Default">
    <w:name w:val="Default"/>
    <w:rsid w:val="00305A60"/>
    <w:pPr>
      <w:autoSpaceDE w:val="0"/>
      <w:autoSpaceDN w:val="0"/>
      <w:adjustRightInd w:val="0"/>
      <w:spacing w:after="0" w:line="240" w:lineRule="auto"/>
    </w:pPr>
    <w:rPr>
      <w:rFonts w:ascii="Verdana" w:hAnsi="Verdana" w:cs="Verdana"/>
      <w:color w:val="000000"/>
      <w:sz w:val="24"/>
      <w:szCs w:val="24"/>
    </w:rPr>
  </w:style>
  <w:style w:type="character" w:customStyle="1" w:styleId="UnresolvedMention1">
    <w:name w:val="Unresolved Mention1"/>
    <w:basedOn w:val="DefaultParagraphFont"/>
    <w:uiPriority w:val="99"/>
    <w:semiHidden/>
    <w:unhideWhenUsed/>
    <w:rsid w:val="00D43DA9"/>
    <w:rPr>
      <w:color w:val="808080"/>
      <w:shd w:val="clear" w:color="auto" w:fill="E6E6E6"/>
    </w:rPr>
  </w:style>
  <w:style w:type="paragraph" w:customStyle="1" w:styleId="fmbasictextbulletintro">
    <w:name w:val="fm_basictextbulletintro"/>
    <w:basedOn w:val="Normal"/>
    <w:rsid w:val="001357A7"/>
    <w:pPr>
      <w:spacing w:before="0" w:after="120" w:line="240" w:lineRule="auto"/>
    </w:pPr>
    <w:rPr>
      <w:rFonts w:ascii="Minion Pro" w:eastAsia="Times New Roman" w:hAnsi="Minion Pro" w:cs="Times New Roman"/>
      <w:color w:val="000000"/>
      <w:sz w:val="21"/>
      <w:szCs w:val="21"/>
    </w:rPr>
  </w:style>
  <w:style w:type="paragraph" w:customStyle="1" w:styleId="fm2ndbullet">
    <w:name w:val="fm_2ndbullet"/>
    <w:basedOn w:val="Normal"/>
    <w:rsid w:val="001357A7"/>
    <w:pPr>
      <w:spacing w:before="120" w:after="120" w:line="240" w:lineRule="auto"/>
      <w:ind w:left="648" w:hanging="288"/>
    </w:pPr>
    <w:rPr>
      <w:rFonts w:ascii="Minion Pro" w:eastAsia="Times New Roman" w:hAnsi="Minion Pro" w:cs="Times New Roman"/>
      <w:color w:val="000000"/>
      <w:sz w:val="21"/>
      <w:szCs w:val="21"/>
    </w:rPr>
  </w:style>
  <w:style w:type="paragraph" w:customStyle="1" w:styleId="fm1stbullet">
    <w:name w:val="fm_1stbullet"/>
    <w:basedOn w:val="Normal"/>
    <w:rsid w:val="001357A7"/>
    <w:pPr>
      <w:spacing w:before="120" w:after="120" w:line="240" w:lineRule="auto"/>
      <w:ind w:left="360" w:hanging="288"/>
    </w:pPr>
    <w:rPr>
      <w:rFonts w:ascii="Minion Pro" w:eastAsia="Times New Roman" w:hAnsi="Minion Pro" w:cs="Times New Roman"/>
      <w:color w:val="000000"/>
      <w:sz w:val="21"/>
      <w:szCs w:val="21"/>
    </w:rPr>
  </w:style>
  <w:style w:type="character" w:customStyle="1" w:styleId="fmbullet">
    <w:name w:val="fm_bullet"/>
    <w:basedOn w:val="DefaultParagraphFont"/>
    <w:rsid w:val="001357A7"/>
  </w:style>
  <w:style w:type="table" w:styleId="ListTable3">
    <w:name w:val="List Table 3"/>
    <w:basedOn w:val="TableNormal"/>
    <w:uiPriority w:val="48"/>
    <w:rsid w:val="00900276"/>
    <w:pPr>
      <w:spacing w:after="0" w:line="240" w:lineRule="auto"/>
    </w:pPr>
    <w:tblPr>
      <w:tblStyleRowBandSize w:val="1"/>
      <w:tblStyleColBandSize w:val="1"/>
      <w:tblBorders>
        <w:top w:val="single" w:sz="4" w:space="0" w:color="1E3C78" w:themeColor="text1"/>
        <w:left w:val="single" w:sz="4" w:space="0" w:color="1E3C78" w:themeColor="text1"/>
        <w:bottom w:val="single" w:sz="4" w:space="0" w:color="1E3C78" w:themeColor="text1"/>
        <w:right w:val="single" w:sz="4" w:space="0" w:color="1E3C78" w:themeColor="text1"/>
      </w:tblBorders>
    </w:tblPr>
    <w:tblStylePr w:type="firstRow">
      <w:rPr>
        <w:b/>
        <w:bCs/>
        <w:color w:val="FFFFFF" w:themeColor="background1"/>
      </w:rPr>
      <w:tblPr/>
      <w:tcPr>
        <w:shd w:val="clear" w:color="auto" w:fill="1E3C78" w:themeFill="text1"/>
      </w:tcPr>
    </w:tblStylePr>
    <w:tblStylePr w:type="lastRow">
      <w:rPr>
        <w:b/>
        <w:bCs/>
      </w:rPr>
      <w:tblPr/>
      <w:tcPr>
        <w:tcBorders>
          <w:top w:val="double" w:sz="4" w:space="0" w:color="1E3C78"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E3C78" w:themeColor="text1"/>
          <w:right w:val="single" w:sz="4" w:space="0" w:color="1E3C78" w:themeColor="text1"/>
        </w:tcBorders>
      </w:tcPr>
    </w:tblStylePr>
    <w:tblStylePr w:type="band1Horz">
      <w:tblPr/>
      <w:tcPr>
        <w:tcBorders>
          <w:top w:val="single" w:sz="4" w:space="0" w:color="1E3C78" w:themeColor="text1"/>
          <w:bottom w:val="single" w:sz="4" w:space="0" w:color="1E3C78"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E3C78" w:themeColor="text1"/>
          <w:left w:val="nil"/>
        </w:tcBorders>
      </w:tcPr>
    </w:tblStylePr>
    <w:tblStylePr w:type="swCell">
      <w:tblPr/>
      <w:tcPr>
        <w:tcBorders>
          <w:top w:val="double" w:sz="4" w:space="0" w:color="1E3C78" w:themeColor="text1"/>
          <w:right w:val="nil"/>
        </w:tcBorders>
      </w:tcPr>
    </w:tblStylePr>
  </w:style>
  <w:style w:type="character" w:customStyle="1" w:styleId="UnresolvedMention2">
    <w:name w:val="Unresolved Mention2"/>
    <w:basedOn w:val="DefaultParagraphFont"/>
    <w:uiPriority w:val="99"/>
    <w:semiHidden/>
    <w:unhideWhenUsed/>
    <w:rsid w:val="00A95E9A"/>
    <w:rPr>
      <w:color w:val="808080"/>
      <w:shd w:val="clear" w:color="auto" w:fill="E6E6E6"/>
    </w:rPr>
  </w:style>
  <w:style w:type="table" w:customStyle="1" w:styleId="ListTable31">
    <w:name w:val="List Table 31"/>
    <w:basedOn w:val="TableNormal"/>
    <w:next w:val="ListTable3"/>
    <w:uiPriority w:val="48"/>
    <w:rsid w:val="00A95E9A"/>
    <w:pPr>
      <w:spacing w:after="0" w:line="240" w:lineRule="auto"/>
    </w:pPr>
    <w:tblPr>
      <w:tblStyleRowBandSize w:val="1"/>
      <w:tblStyleColBandSize w:val="1"/>
      <w:tblBorders>
        <w:top w:val="single" w:sz="4" w:space="0" w:color="1E3C78"/>
        <w:left w:val="single" w:sz="4" w:space="0" w:color="1E3C78"/>
        <w:bottom w:val="single" w:sz="4" w:space="0" w:color="1E3C78"/>
        <w:right w:val="single" w:sz="4" w:space="0" w:color="1E3C78"/>
      </w:tblBorders>
    </w:tblPr>
    <w:tblStylePr w:type="firstRow">
      <w:rPr>
        <w:b/>
        <w:bCs/>
        <w:color w:val="FFFFFF"/>
      </w:rPr>
      <w:tblPr/>
      <w:tcPr>
        <w:shd w:val="clear" w:color="auto" w:fill="1E3C78"/>
      </w:tcPr>
    </w:tblStylePr>
    <w:tblStylePr w:type="lastRow">
      <w:rPr>
        <w:b/>
        <w:bCs/>
      </w:rPr>
      <w:tblPr/>
      <w:tcPr>
        <w:tcBorders>
          <w:top w:val="double" w:sz="4" w:space="0" w:color="1E3C78"/>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1E3C78"/>
          <w:right w:val="single" w:sz="4" w:space="0" w:color="1E3C78"/>
        </w:tcBorders>
      </w:tcPr>
    </w:tblStylePr>
    <w:tblStylePr w:type="band1Horz">
      <w:tblPr/>
      <w:tcPr>
        <w:tcBorders>
          <w:top w:val="single" w:sz="4" w:space="0" w:color="1E3C78"/>
          <w:bottom w:val="single" w:sz="4" w:space="0" w:color="1E3C78"/>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E3C78"/>
          <w:left w:val="nil"/>
        </w:tcBorders>
      </w:tcPr>
    </w:tblStylePr>
    <w:tblStylePr w:type="swCell">
      <w:tblPr/>
      <w:tcPr>
        <w:tcBorders>
          <w:top w:val="double" w:sz="4" w:space="0" w:color="1E3C78"/>
          <w:right w:val="nil"/>
        </w:tcBorders>
      </w:tcPr>
    </w:tblStylePr>
  </w:style>
  <w:style w:type="character" w:customStyle="1" w:styleId="UnresolvedMention3">
    <w:name w:val="Unresolved Mention3"/>
    <w:basedOn w:val="DefaultParagraphFont"/>
    <w:uiPriority w:val="99"/>
    <w:semiHidden/>
    <w:unhideWhenUsed/>
    <w:rsid w:val="00A95E9A"/>
    <w:rPr>
      <w:color w:val="808080"/>
      <w:shd w:val="clear" w:color="auto" w:fill="E6E6E6"/>
    </w:rPr>
  </w:style>
  <w:style w:type="character" w:customStyle="1" w:styleId="markcl666c8gy">
    <w:name w:val="markcl666c8gy"/>
    <w:basedOn w:val="DefaultParagraphFont"/>
    <w:rsid w:val="0088482F"/>
  </w:style>
  <w:style w:type="character" w:customStyle="1" w:styleId="mark4babuggwy">
    <w:name w:val="mark4babuggwy"/>
    <w:basedOn w:val="DefaultParagraphFont"/>
    <w:rsid w:val="0088482F"/>
  </w:style>
  <w:style w:type="character" w:styleId="UnresolvedMention">
    <w:name w:val="Unresolved Mention"/>
    <w:basedOn w:val="DefaultParagraphFont"/>
    <w:uiPriority w:val="99"/>
    <w:semiHidden/>
    <w:unhideWhenUsed/>
    <w:rsid w:val="00987B57"/>
    <w:rPr>
      <w:color w:val="808080"/>
      <w:shd w:val="clear" w:color="auto" w:fill="E6E6E6"/>
    </w:rPr>
  </w:style>
  <w:style w:type="paragraph" w:customStyle="1" w:styleId="left">
    <w:name w:val="left"/>
    <w:basedOn w:val="Normal"/>
    <w:rsid w:val="003C64A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bleNote">
    <w:name w:val="Table Note"/>
    <w:basedOn w:val="BodyText"/>
    <w:link w:val="TableNoteChar"/>
    <w:uiPriority w:val="99"/>
    <w:qFormat/>
    <w:rsid w:val="00F11A89"/>
    <w:pPr>
      <w:spacing w:before="0"/>
    </w:pPr>
    <w:rPr>
      <w:sz w:val="18"/>
    </w:rPr>
  </w:style>
  <w:style w:type="character" w:customStyle="1" w:styleId="TableNoteChar">
    <w:name w:val="Table Note Char"/>
    <w:basedOn w:val="BodyTextChar"/>
    <w:link w:val="TableNote"/>
    <w:uiPriority w:val="99"/>
    <w:rsid w:val="00F11A89"/>
    <w:rPr>
      <w:sz w:val="18"/>
      <w:szCs w:val="20"/>
    </w:rPr>
  </w:style>
  <w:style w:type="table" w:customStyle="1" w:styleId="TableGrid1">
    <w:name w:val="Table Grid1"/>
    <w:basedOn w:val="TableNormal"/>
    <w:next w:val="TableGrid"/>
    <w:uiPriority w:val="39"/>
    <w:rsid w:val="0088107A"/>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
    <w:name w:val="Grid Table 4"/>
    <w:basedOn w:val="TableNormal"/>
    <w:uiPriority w:val="49"/>
    <w:rsid w:val="008E675D"/>
    <w:pPr>
      <w:spacing w:after="0" w:line="240" w:lineRule="auto"/>
    </w:pPr>
    <w:tblPr>
      <w:tblStyleRowBandSize w:val="1"/>
      <w:tblStyleColBandSize w:val="1"/>
      <w:tblBorders>
        <w:top w:val="single" w:sz="4" w:space="0" w:color="527DD3" w:themeColor="text1" w:themeTint="99"/>
        <w:left w:val="single" w:sz="4" w:space="0" w:color="527DD3" w:themeColor="text1" w:themeTint="99"/>
        <w:bottom w:val="single" w:sz="4" w:space="0" w:color="527DD3" w:themeColor="text1" w:themeTint="99"/>
        <w:right w:val="single" w:sz="4" w:space="0" w:color="527DD3" w:themeColor="text1" w:themeTint="99"/>
        <w:insideH w:val="single" w:sz="4" w:space="0" w:color="527DD3" w:themeColor="text1" w:themeTint="99"/>
        <w:insideV w:val="single" w:sz="4" w:space="0" w:color="527DD3" w:themeColor="text1" w:themeTint="99"/>
      </w:tblBorders>
    </w:tblPr>
    <w:tblStylePr w:type="firstRow">
      <w:rPr>
        <w:b/>
        <w:bCs/>
        <w:color w:val="FFFFFF" w:themeColor="background1"/>
      </w:rPr>
      <w:tblPr/>
      <w:tcPr>
        <w:tcBorders>
          <w:top w:val="single" w:sz="4" w:space="0" w:color="1E3C78" w:themeColor="text1"/>
          <w:left w:val="single" w:sz="4" w:space="0" w:color="1E3C78" w:themeColor="text1"/>
          <w:bottom w:val="single" w:sz="4" w:space="0" w:color="1E3C78" w:themeColor="text1"/>
          <w:right w:val="single" w:sz="4" w:space="0" w:color="1E3C78" w:themeColor="text1"/>
          <w:insideH w:val="nil"/>
          <w:insideV w:val="nil"/>
        </w:tcBorders>
        <w:shd w:val="clear" w:color="auto" w:fill="1E3C78" w:themeFill="text1"/>
      </w:tcPr>
    </w:tblStylePr>
    <w:tblStylePr w:type="lastRow">
      <w:rPr>
        <w:b/>
        <w:bCs/>
      </w:rPr>
      <w:tblPr/>
      <w:tcPr>
        <w:tcBorders>
          <w:top w:val="double" w:sz="4" w:space="0" w:color="1E3C78" w:themeColor="text1"/>
        </w:tcBorders>
      </w:tcPr>
    </w:tblStylePr>
    <w:tblStylePr w:type="firstCol">
      <w:rPr>
        <w:b/>
        <w:bCs/>
      </w:rPr>
    </w:tblStylePr>
    <w:tblStylePr w:type="lastCol">
      <w:rPr>
        <w:b/>
        <w:bCs/>
      </w:rPr>
    </w:tblStylePr>
    <w:tblStylePr w:type="band1Vert">
      <w:tblPr/>
      <w:tcPr>
        <w:shd w:val="clear" w:color="auto" w:fill="C5D3F0" w:themeFill="text1" w:themeFillTint="33"/>
      </w:tcPr>
    </w:tblStylePr>
    <w:tblStylePr w:type="band1Horz">
      <w:tblPr/>
      <w:tcPr>
        <w:shd w:val="clear" w:color="auto" w:fill="C5D3F0" w:themeFill="text1" w:themeFillTint="33"/>
      </w:tcPr>
    </w:tblStylePr>
  </w:style>
  <w:style w:type="table" w:styleId="GridTable4-Accent1">
    <w:name w:val="Grid Table 4 Accent 1"/>
    <w:basedOn w:val="TableNormal"/>
    <w:uiPriority w:val="49"/>
    <w:rsid w:val="00563F7B"/>
    <w:pPr>
      <w:spacing w:after="0" w:line="240" w:lineRule="auto"/>
    </w:pPr>
    <w:tblPr>
      <w:tblStyleRowBandSize w:val="1"/>
      <w:tblStyleColBandSize w:val="1"/>
      <w:tblBorders>
        <w:top w:val="single" w:sz="4" w:space="0" w:color="A7CCEE" w:themeColor="accent1" w:themeTint="99"/>
        <w:left w:val="single" w:sz="4" w:space="0" w:color="A7CCEE" w:themeColor="accent1" w:themeTint="99"/>
        <w:bottom w:val="single" w:sz="4" w:space="0" w:color="A7CCEE" w:themeColor="accent1" w:themeTint="99"/>
        <w:right w:val="single" w:sz="4" w:space="0" w:color="A7CCEE" w:themeColor="accent1" w:themeTint="99"/>
        <w:insideH w:val="single" w:sz="4" w:space="0" w:color="A7CCEE" w:themeColor="accent1" w:themeTint="99"/>
        <w:insideV w:val="single" w:sz="4" w:space="0" w:color="A7CCEE" w:themeColor="accent1" w:themeTint="99"/>
      </w:tblBorders>
    </w:tblPr>
    <w:tblStylePr w:type="firstRow">
      <w:rPr>
        <w:b/>
        <w:bCs/>
        <w:color w:val="FFFFFF" w:themeColor="background1"/>
      </w:rPr>
      <w:tblPr/>
      <w:tcPr>
        <w:tcBorders>
          <w:top w:val="single" w:sz="4" w:space="0" w:color="6DABE4" w:themeColor="accent1"/>
          <w:left w:val="single" w:sz="4" w:space="0" w:color="6DABE4" w:themeColor="accent1"/>
          <w:bottom w:val="single" w:sz="4" w:space="0" w:color="6DABE4" w:themeColor="accent1"/>
          <w:right w:val="single" w:sz="4" w:space="0" w:color="6DABE4" w:themeColor="accent1"/>
          <w:insideH w:val="nil"/>
          <w:insideV w:val="nil"/>
        </w:tcBorders>
        <w:shd w:val="clear" w:color="auto" w:fill="6DABE4" w:themeFill="accent1"/>
      </w:tcPr>
    </w:tblStylePr>
    <w:tblStylePr w:type="lastRow">
      <w:rPr>
        <w:b/>
        <w:bCs/>
      </w:rPr>
      <w:tblPr/>
      <w:tcPr>
        <w:tcBorders>
          <w:top w:val="double" w:sz="4" w:space="0" w:color="6DABE4" w:themeColor="accent1"/>
        </w:tcBorders>
      </w:tcPr>
    </w:tblStylePr>
    <w:tblStylePr w:type="firstCol">
      <w:rPr>
        <w:b/>
        <w:bCs/>
      </w:rPr>
    </w:tblStylePr>
    <w:tblStylePr w:type="lastCol">
      <w:rPr>
        <w:b/>
        <w:bCs/>
      </w:rPr>
    </w:tblStylePr>
    <w:tblStylePr w:type="band1Vert">
      <w:tblPr/>
      <w:tcPr>
        <w:shd w:val="clear" w:color="auto" w:fill="E1EEF9" w:themeFill="accent1" w:themeFillTint="33"/>
      </w:tcPr>
    </w:tblStylePr>
    <w:tblStylePr w:type="band1Horz">
      <w:tblPr/>
      <w:tcPr>
        <w:shd w:val="clear" w:color="auto" w:fill="E1EEF9" w:themeFill="accent1" w:themeFillTint="33"/>
      </w:tcPr>
    </w:tblStylePr>
  </w:style>
  <w:style w:type="table" w:styleId="GridTable5Dark-Accent1">
    <w:name w:val="Grid Table 5 Dark Accent 1"/>
    <w:basedOn w:val="TableNormal"/>
    <w:uiPriority w:val="50"/>
    <w:rsid w:val="00C2285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1EEF9"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DABE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DABE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6DABE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6DABE4" w:themeFill="accent1"/>
      </w:tcPr>
    </w:tblStylePr>
    <w:tblStylePr w:type="band1Vert">
      <w:tblPr/>
      <w:tcPr>
        <w:shd w:val="clear" w:color="auto" w:fill="C4DDF4" w:themeFill="accent1" w:themeFillTint="66"/>
      </w:tcPr>
    </w:tblStylePr>
    <w:tblStylePr w:type="band1Horz">
      <w:tblPr/>
      <w:tcPr>
        <w:shd w:val="clear" w:color="auto" w:fill="C4DDF4" w:themeFill="accent1" w:themeFillTint="66"/>
      </w:tcPr>
    </w:tblStylePr>
  </w:style>
  <w:style w:type="character" w:styleId="Mention">
    <w:name w:val="Mention"/>
    <w:basedOn w:val="DefaultParagraphFont"/>
    <w:uiPriority w:val="99"/>
    <w:unhideWhenUsed/>
    <w:rsid w:val="0066248D"/>
    <w:rPr>
      <w:color w:val="2B579A"/>
      <w:shd w:val="clear" w:color="auto" w:fill="E1DFDD"/>
    </w:rPr>
  </w:style>
  <w:style w:type="table" w:customStyle="1" w:styleId="HHSTableforTextData1">
    <w:name w:val="HHS Table for Text Data1"/>
    <w:basedOn w:val="TableNormal"/>
    <w:uiPriority w:val="99"/>
    <w:rsid w:val="005E6A02"/>
    <w:pPr>
      <w:spacing w:after="0" w:line="240" w:lineRule="auto"/>
      <w:jc w:val="center"/>
    </w:pPr>
    <w:rPr>
      <w:sz w:val="20"/>
      <w:szCs w:val="20"/>
    </w:rPr>
    <w:tblPr>
      <w:tblStyleRowBandSize w:val="1"/>
      <w:tblStyleColBandSize w:val="1"/>
      <w:tblBorders>
        <w:top w:val="single" w:sz="4" w:space="0" w:color="022167"/>
        <w:left w:val="single" w:sz="4" w:space="0" w:color="022167"/>
        <w:bottom w:val="single" w:sz="4" w:space="0" w:color="022167"/>
        <w:right w:val="single" w:sz="4" w:space="0" w:color="022167"/>
        <w:insideH w:val="single" w:sz="4" w:space="0" w:color="022167"/>
        <w:insideV w:val="single" w:sz="4" w:space="0" w:color="022167"/>
      </w:tblBorders>
      <w:tblCellMar>
        <w:left w:w="0" w:type="dxa"/>
        <w:right w:w="0" w:type="dxa"/>
      </w:tblCellMar>
    </w:tblPr>
    <w:trPr>
      <w:cantSplit/>
    </w:trPr>
    <w:tblStylePr w:type="firstRow">
      <w:pPr>
        <w:wordWrap/>
        <w:jc w:val="center"/>
      </w:pPr>
      <w:rPr>
        <w:b/>
      </w:rPr>
      <w:tblPr/>
      <w:trPr>
        <w:tblHeader/>
      </w:trPr>
      <w:tcPr>
        <w:shd w:val="clear" w:color="auto" w:fill="C4DDF4"/>
        <w:vAlign w:val="bottom"/>
      </w:tcPr>
    </w:tblStylePr>
    <w:tblStylePr w:type="lastRow">
      <w:pPr>
        <w:jc w:val="left"/>
      </w:pPr>
    </w:tblStylePr>
    <w:tblStylePr w:type="firstCol">
      <w:pPr>
        <w:jc w:val="left"/>
      </w:pPr>
    </w:tblStylePr>
    <w:tblStylePr w:type="lastCol">
      <w:pPr>
        <w:jc w:val="left"/>
      </w:pPr>
    </w:tblStylePr>
    <w:tblStylePr w:type="band1Vert">
      <w:pPr>
        <w:jc w:val="left"/>
      </w:pPr>
    </w:tblStylePr>
    <w:tblStylePr w:type="band2Vert">
      <w:pPr>
        <w:jc w:val="left"/>
      </w:pPr>
    </w:tblStylePr>
    <w:tblStylePr w:type="band1Horz">
      <w:pPr>
        <w:jc w:val="left"/>
      </w:pPr>
    </w:tblStylePr>
    <w:tblStylePr w:type="band2Horz">
      <w:pPr>
        <w:jc w:val="left"/>
      </w:pPr>
      <w:tblPr/>
      <w:tcPr>
        <w:shd w:val="clear" w:color="auto" w:fill="E1EEF9"/>
      </w:tcPr>
    </w:tblStylePr>
  </w:style>
  <w:style w:type="table" w:customStyle="1" w:styleId="HHSTableforTextData2">
    <w:name w:val="HHS Table for Text Data2"/>
    <w:basedOn w:val="TableNormal"/>
    <w:uiPriority w:val="99"/>
    <w:rsid w:val="007C73F6"/>
    <w:pPr>
      <w:spacing w:after="0" w:line="240" w:lineRule="auto"/>
      <w:jc w:val="center"/>
    </w:pPr>
    <w:rPr>
      <w:sz w:val="20"/>
      <w:szCs w:val="20"/>
    </w:rPr>
    <w:tblPr>
      <w:tblStyleRowBandSize w:val="1"/>
      <w:tblStyleColBandSize w:val="1"/>
      <w:tblBorders>
        <w:top w:val="single" w:sz="4" w:space="0" w:color="022167"/>
        <w:left w:val="single" w:sz="4" w:space="0" w:color="022167"/>
        <w:bottom w:val="single" w:sz="4" w:space="0" w:color="022167"/>
        <w:right w:val="single" w:sz="4" w:space="0" w:color="022167"/>
        <w:insideH w:val="single" w:sz="4" w:space="0" w:color="022167"/>
        <w:insideV w:val="single" w:sz="4" w:space="0" w:color="022167"/>
      </w:tblBorders>
      <w:tblCellMar>
        <w:left w:w="0" w:type="dxa"/>
        <w:right w:w="0" w:type="dxa"/>
      </w:tblCellMar>
    </w:tblPr>
    <w:trPr>
      <w:cantSplit/>
    </w:trPr>
    <w:tblStylePr w:type="firstRow">
      <w:pPr>
        <w:wordWrap/>
        <w:jc w:val="center"/>
      </w:pPr>
      <w:rPr>
        <w:b/>
      </w:rPr>
      <w:tblPr/>
      <w:trPr>
        <w:tblHeader/>
      </w:trPr>
      <w:tcPr>
        <w:shd w:val="clear" w:color="auto" w:fill="C4DDF4"/>
        <w:vAlign w:val="bottom"/>
      </w:tcPr>
    </w:tblStylePr>
    <w:tblStylePr w:type="lastRow">
      <w:pPr>
        <w:jc w:val="left"/>
      </w:pPr>
    </w:tblStylePr>
    <w:tblStylePr w:type="firstCol">
      <w:pPr>
        <w:jc w:val="left"/>
      </w:pPr>
    </w:tblStylePr>
    <w:tblStylePr w:type="lastCol">
      <w:pPr>
        <w:jc w:val="left"/>
      </w:pPr>
    </w:tblStylePr>
    <w:tblStylePr w:type="band1Vert">
      <w:pPr>
        <w:jc w:val="left"/>
      </w:pPr>
    </w:tblStylePr>
    <w:tblStylePr w:type="band2Vert">
      <w:pPr>
        <w:jc w:val="left"/>
      </w:pPr>
    </w:tblStylePr>
    <w:tblStylePr w:type="band1Horz">
      <w:pPr>
        <w:jc w:val="left"/>
      </w:pPr>
    </w:tblStylePr>
    <w:tblStylePr w:type="band2Horz">
      <w:pPr>
        <w:jc w:val="left"/>
      </w:pPr>
      <w:tblPr/>
      <w:tcPr>
        <w:shd w:val="clear" w:color="auto" w:fill="E1EEF9"/>
      </w:tcPr>
    </w:tblStylePr>
  </w:style>
  <w:style w:type="paragraph" w:customStyle="1" w:styleId="PText">
    <w:name w:val="P Text"/>
    <w:basedOn w:val="Normal"/>
    <w:link w:val="PTextChar"/>
    <w:qFormat/>
    <w:locked/>
    <w:rsid w:val="00E60839"/>
    <w:pPr>
      <w:tabs>
        <w:tab w:val="left" w:pos="5040"/>
      </w:tabs>
      <w:spacing w:before="0" w:after="200" w:line="276" w:lineRule="auto"/>
    </w:pPr>
    <w:rPr>
      <w:szCs w:val="22"/>
    </w:rPr>
  </w:style>
  <w:style w:type="character" w:customStyle="1" w:styleId="PTextChar">
    <w:name w:val="P Text Char"/>
    <w:basedOn w:val="DefaultParagraphFont"/>
    <w:link w:val="PText"/>
    <w:locked/>
    <w:rsid w:val="00E60839"/>
  </w:style>
  <w:style w:type="character" w:customStyle="1" w:styleId="ui-provider">
    <w:name w:val="ui-provider"/>
    <w:basedOn w:val="DefaultParagraphFont"/>
    <w:rsid w:val="006E16B2"/>
  </w:style>
  <w:style w:type="table" w:customStyle="1" w:styleId="TableGrid11">
    <w:name w:val="Table Grid11"/>
    <w:basedOn w:val="TableNormal"/>
    <w:next w:val="TableGrid"/>
    <w:uiPriority w:val="39"/>
    <w:rsid w:val="00BA4BB8"/>
    <w:pPr>
      <w:spacing w:after="0" w:line="240" w:lineRule="auto"/>
    </w:pPr>
    <w:rPr>
      <w:rFonts w:ascii="Verdana" w:hAnsi="Verdana"/>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CA30B4"/>
    <w:pPr>
      <w:spacing w:after="0" w:line="276" w:lineRule="auto"/>
    </w:pPr>
    <w:rPr>
      <w:rFonts w:eastAsia="Times New Roman"/>
      <w:color w:val="000000" w:themeColor="text2"/>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blStylePr w:type="firstRow">
      <w:pPr>
        <w:wordWrap/>
        <w:jc w:val="center"/>
      </w:pPr>
      <w:rPr>
        <w:rFonts w:asciiTheme="minorHAnsi" w:hAnsiTheme="minorHAnsi"/>
        <w:b/>
        <w:sz w:val="18"/>
      </w:rPr>
      <w:tblPr/>
      <w:trPr>
        <w:tblHeader/>
      </w:t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61299">
      <w:bodyDiv w:val="1"/>
      <w:marLeft w:val="0"/>
      <w:marRight w:val="0"/>
      <w:marTop w:val="0"/>
      <w:marBottom w:val="0"/>
      <w:divBdr>
        <w:top w:val="none" w:sz="0" w:space="0" w:color="auto"/>
        <w:left w:val="none" w:sz="0" w:space="0" w:color="auto"/>
        <w:bottom w:val="none" w:sz="0" w:space="0" w:color="auto"/>
        <w:right w:val="none" w:sz="0" w:space="0" w:color="auto"/>
      </w:divBdr>
    </w:div>
    <w:div w:id="69474216">
      <w:bodyDiv w:val="1"/>
      <w:marLeft w:val="0"/>
      <w:marRight w:val="0"/>
      <w:marTop w:val="0"/>
      <w:marBottom w:val="0"/>
      <w:divBdr>
        <w:top w:val="none" w:sz="0" w:space="0" w:color="auto"/>
        <w:left w:val="none" w:sz="0" w:space="0" w:color="auto"/>
        <w:bottom w:val="none" w:sz="0" w:space="0" w:color="auto"/>
        <w:right w:val="none" w:sz="0" w:space="0" w:color="auto"/>
      </w:divBdr>
    </w:div>
    <w:div w:id="75782916">
      <w:bodyDiv w:val="1"/>
      <w:marLeft w:val="0"/>
      <w:marRight w:val="0"/>
      <w:marTop w:val="0"/>
      <w:marBottom w:val="0"/>
      <w:divBdr>
        <w:top w:val="none" w:sz="0" w:space="0" w:color="auto"/>
        <w:left w:val="none" w:sz="0" w:space="0" w:color="auto"/>
        <w:bottom w:val="none" w:sz="0" w:space="0" w:color="auto"/>
        <w:right w:val="none" w:sz="0" w:space="0" w:color="auto"/>
      </w:divBdr>
    </w:div>
    <w:div w:id="96604405">
      <w:bodyDiv w:val="1"/>
      <w:marLeft w:val="0"/>
      <w:marRight w:val="0"/>
      <w:marTop w:val="0"/>
      <w:marBottom w:val="0"/>
      <w:divBdr>
        <w:top w:val="none" w:sz="0" w:space="0" w:color="auto"/>
        <w:left w:val="none" w:sz="0" w:space="0" w:color="auto"/>
        <w:bottom w:val="none" w:sz="0" w:space="0" w:color="auto"/>
        <w:right w:val="none" w:sz="0" w:space="0" w:color="auto"/>
      </w:divBdr>
    </w:div>
    <w:div w:id="135756243">
      <w:bodyDiv w:val="1"/>
      <w:marLeft w:val="0"/>
      <w:marRight w:val="0"/>
      <w:marTop w:val="0"/>
      <w:marBottom w:val="0"/>
      <w:divBdr>
        <w:top w:val="none" w:sz="0" w:space="0" w:color="auto"/>
        <w:left w:val="none" w:sz="0" w:space="0" w:color="auto"/>
        <w:bottom w:val="none" w:sz="0" w:space="0" w:color="auto"/>
        <w:right w:val="none" w:sz="0" w:space="0" w:color="auto"/>
      </w:divBdr>
    </w:div>
    <w:div w:id="138232031">
      <w:bodyDiv w:val="1"/>
      <w:marLeft w:val="0"/>
      <w:marRight w:val="0"/>
      <w:marTop w:val="0"/>
      <w:marBottom w:val="0"/>
      <w:divBdr>
        <w:top w:val="none" w:sz="0" w:space="0" w:color="auto"/>
        <w:left w:val="none" w:sz="0" w:space="0" w:color="auto"/>
        <w:bottom w:val="none" w:sz="0" w:space="0" w:color="auto"/>
        <w:right w:val="none" w:sz="0" w:space="0" w:color="auto"/>
      </w:divBdr>
    </w:div>
    <w:div w:id="165050875">
      <w:bodyDiv w:val="1"/>
      <w:marLeft w:val="0"/>
      <w:marRight w:val="0"/>
      <w:marTop w:val="0"/>
      <w:marBottom w:val="0"/>
      <w:divBdr>
        <w:top w:val="none" w:sz="0" w:space="0" w:color="auto"/>
        <w:left w:val="none" w:sz="0" w:space="0" w:color="auto"/>
        <w:bottom w:val="none" w:sz="0" w:space="0" w:color="auto"/>
        <w:right w:val="none" w:sz="0" w:space="0" w:color="auto"/>
      </w:divBdr>
    </w:div>
    <w:div w:id="208303274">
      <w:bodyDiv w:val="1"/>
      <w:marLeft w:val="0"/>
      <w:marRight w:val="0"/>
      <w:marTop w:val="0"/>
      <w:marBottom w:val="0"/>
      <w:divBdr>
        <w:top w:val="none" w:sz="0" w:space="0" w:color="auto"/>
        <w:left w:val="none" w:sz="0" w:space="0" w:color="auto"/>
        <w:bottom w:val="none" w:sz="0" w:space="0" w:color="auto"/>
        <w:right w:val="none" w:sz="0" w:space="0" w:color="auto"/>
      </w:divBdr>
    </w:div>
    <w:div w:id="221063952">
      <w:bodyDiv w:val="1"/>
      <w:marLeft w:val="0"/>
      <w:marRight w:val="0"/>
      <w:marTop w:val="0"/>
      <w:marBottom w:val="0"/>
      <w:divBdr>
        <w:top w:val="none" w:sz="0" w:space="0" w:color="auto"/>
        <w:left w:val="none" w:sz="0" w:space="0" w:color="auto"/>
        <w:bottom w:val="none" w:sz="0" w:space="0" w:color="auto"/>
        <w:right w:val="none" w:sz="0" w:space="0" w:color="auto"/>
      </w:divBdr>
    </w:div>
    <w:div w:id="315495295">
      <w:bodyDiv w:val="1"/>
      <w:marLeft w:val="0"/>
      <w:marRight w:val="0"/>
      <w:marTop w:val="0"/>
      <w:marBottom w:val="0"/>
      <w:divBdr>
        <w:top w:val="none" w:sz="0" w:space="0" w:color="auto"/>
        <w:left w:val="none" w:sz="0" w:space="0" w:color="auto"/>
        <w:bottom w:val="none" w:sz="0" w:space="0" w:color="auto"/>
        <w:right w:val="none" w:sz="0" w:space="0" w:color="auto"/>
      </w:divBdr>
    </w:div>
    <w:div w:id="350839335">
      <w:bodyDiv w:val="1"/>
      <w:marLeft w:val="0"/>
      <w:marRight w:val="0"/>
      <w:marTop w:val="0"/>
      <w:marBottom w:val="0"/>
      <w:divBdr>
        <w:top w:val="none" w:sz="0" w:space="0" w:color="auto"/>
        <w:left w:val="none" w:sz="0" w:space="0" w:color="auto"/>
        <w:bottom w:val="none" w:sz="0" w:space="0" w:color="auto"/>
        <w:right w:val="none" w:sz="0" w:space="0" w:color="auto"/>
      </w:divBdr>
    </w:div>
    <w:div w:id="364673794">
      <w:bodyDiv w:val="1"/>
      <w:marLeft w:val="0"/>
      <w:marRight w:val="0"/>
      <w:marTop w:val="0"/>
      <w:marBottom w:val="0"/>
      <w:divBdr>
        <w:top w:val="none" w:sz="0" w:space="0" w:color="auto"/>
        <w:left w:val="none" w:sz="0" w:space="0" w:color="auto"/>
        <w:bottom w:val="none" w:sz="0" w:space="0" w:color="auto"/>
        <w:right w:val="none" w:sz="0" w:space="0" w:color="auto"/>
      </w:divBdr>
    </w:div>
    <w:div w:id="365067035">
      <w:bodyDiv w:val="1"/>
      <w:marLeft w:val="0"/>
      <w:marRight w:val="0"/>
      <w:marTop w:val="0"/>
      <w:marBottom w:val="0"/>
      <w:divBdr>
        <w:top w:val="none" w:sz="0" w:space="0" w:color="auto"/>
        <w:left w:val="none" w:sz="0" w:space="0" w:color="auto"/>
        <w:bottom w:val="none" w:sz="0" w:space="0" w:color="auto"/>
        <w:right w:val="none" w:sz="0" w:space="0" w:color="auto"/>
      </w:divBdr>
    </w:div>
    <w:div w:id="366612515">
      <w:bodyDiv w:val="1"/>
      <w:marLeft w:val="0"/>
      <w:marRight w:val="0"/>
      <w:marTop w:val="0"/>
      <w:marBottom w:val="0"/>
      <w:divBdr>
        <w:top w:val="none" w:sz="0" w:space="0" w:color="auto"/>
        <w:left w:val="none" w:sz="0" w:space="0" w:color="auto"/>
        <w:bottom w:val="none" w:sz="0" w:space="0" w:color="auto"/>
        <w:right w:val="none" w:sz="0" w:space="0" w:color="auto"/>
      </w:divBdr>
    </w:div>
    <w:div w:id="380178263">
      <w:bodyDiv w:val="1"/>
      <w:marLeft w:val="0"/>
      <w:marRight w:val="0"/>
      <w:marTop w:val="0"/>
      <w:marBottom w:val="0"/>
      <w:divBdr>
        <w:top w:val="none" w:sz="0" w:space="0" w:color="auto"/>
        <w:left w:val="none" w:sz="0" w:space="0" w:color="auto"/>
        <w:bottom w:val="none" w:sz="0" w:space="0" w:color="auto"/>
        <w:right w:val="none" w:sz="0" w:space="0" w:color="auto"/>
      </w:divBdr>
    </w:div>
    <w:div w:id="435099797">
      <w:bodyDiv w:val="1"/>
      <w:marLeft w:val="0"/>
      <w:marRight w:val="0"/>
      <w:marTop w:val="0"/>
      <w:marBottom w:val="0"/>
      <w:divBdr>
        <w:top w:val="none" w:sz="0" w:space="0" w:color="auto"/>
        <w:left w:val="none" w:sz="0" w:space="0" w:color="auto"/>
        <w:bottom w:val="none" w:sz="0" w:space="0" w:color="auto"/>
        <w:right w:val="none" w:sz="0" w:space="0" w:color="auto"/>
      </w:divBdr>
    </w:div>
    <w:div w:id="452092225">
      <w:bodyDiv w:val="1"/>
      <w:marLeft w:val="0"/>
      <w:marRight w:val="0"/>
      <w:marTop w:val="0"/>
      <w:marBottom w:val="0"/>
      <w:divBdr>
        <w:top w:val="none" w:sz="0" w:space="0" w:color="auto"/>
        <w:left w:val="none" w:sz="0" w:space="0" w:color="auto"/>
        <w:bottom w:val="none" w:sz="0" w:space="0" w:color="auto"/>
        <w:right w:val="none" w:sz="0" w:space="0" w:color="auto"/>
      </w:divBdr>
    </w:div>
    <w:div w:id="476068781">
      <w:bodyDiv w:val="1"/>
      <w:marLeft w:val="0"/>
      <w:marRight w:val="0"/>
      <w:marTop w:val="0"/>
      <w:marBottom w:val="0"/>
      <w:divBdr>
        <w:top w:val="none" w:sz="0" w:space="0" w:color="auto"/>
        <w:left w:val="none" w:sz="0" w:space="0" w:color="auto"/>
        <w:bottom w:val="none" w:sz="0" w:space="0" w:color="auto"/>
        <w:right w:val="none" w:sz="0" w:space="0" w:color="auto"/>
      </w:divBdr>
    </w:div>
    <w:div w:id="583296056">
      <w:bodyDiv w:val="1"/>
      <w:marLeft w:val="0"/>
      <w:marRight w:val="0"/>
      <w:marTop w:val="0"/>
      <w:marBottom w:val="0"/>
      <w:divBdr>
        <w:top w:val="none" w:sz="0" w:space="0" w:color="auto"/>
        <w:left w:val="none" w:sz="0" w:space="0" w:color="auto"/>
        <w:bottom w:val="none" w:sz="0" w:space="0" w:color="auto"/>
        <w:right w:val="none" w:sz="0" w:space="0" w:color="auto"/>
      </w:divBdr>
    </w:div>
    <w:div w:id="602224259">
      <w:bodyDiv w:val="1"/>
      <w:marLeft w:val="0"/>
      <w:marRight w:val="0"/>
      <w:marTop w:val="0"/>
      <w:marBottom w:val="0"/>
      <w:divBdr>
        <w:top w:val="none" w:sz="0" w:space="0" w:color="auto"/>
        <w:left w:val="none" w:sz="0" w:space="0" w:color="auto"/>
        <w:bottom w:val="none" w:sz="0" w:space="0" w:color="auto"/>
        <w:right w:val="none" w:sz="0" w:space="0" w:color="auto"/>
      </w:divBdr>
    </w:div>
    <w:div w:id="647519858">
      <w:bodyDiv w:val="1"/>
      <w:marLeft w:val="0"/>
      <w:marRight w:val="0"/>
      <w:marTop w:val="0"/>
      <w:marBottom w:val="0"/>
      <w:divBdr>
        <w:top w:val="none" w:sz="0" w:space="0" w:color="auto"/>
        <w:left w:val="none" w:sz="0" w:space="0" w:color="auto"/>
        <w:bottom w:val="none" w:sz="0" w:space="0" w:color="auto"/>
        <w:right w:val="none" w:sz="0" w:space="0" w:color="auto"/>
      </w:divBdr>
    </w:div>
    <w:div w:id="814372980">
      <w:bodyDiv w:val="1"/>
      <w:marLeft w:val="0"/>
      <w:marRight w:val="0"/>
      <w:marTop w:val="0"/>
      <w:marBottom w:val="0"/>
      <w:divBdr>
        <w:top w:val="none" w:sz="0" w:space="0" w:color="auto"/>
        <w:left w:val="none" w:sz="0" w:space="0" w:color="auto"/>
        <w:bottom w:val="none" w:sz="0" w:space="0" w:color="auto"/>
        <w:right w:val="none" w:sz="0" w:space="0" w:color="auto"/>
      </w:divBdr>
    </w:div>
    <w:div w:id="825247073">
      <w:bodyDiv w:val="1"/>
      <w:marLeft w:val="0"/>
      <w:marRight w:val="0"/>
      <w:marTop w:val="0"/>
      <w:marBottom w:val="0"/>
      <w:divBdr>
        <w:top w:val="none" w:sz="0" w:space="0" w:color="auto"/>
        <w:left w:val="none" w:sz="0" w:space="0" w:color="auto"/>
        <w:bottom w:val="none" w:sz="0" w:space="0" w:color="auto"/>
        <w:right w:val="none" w:sz="0" w:space="0" w:color="auto"/>
      </w:divBdr>
    </w:div>
    <w:div w:id="831917884">
      <w:bodyDiv w:val="1"/>
      <w:marLeft w:val="0"/>
      <w:marRight w:val="0"/>
      <w:marTop w:val="0"/>
      <w:marBottom w:val="0"/>
      <w:divBdr>
        <w:top w:val="none" w:sz="0" w:space="0" w:color="auto"/>
        <w:left w:val="none" w:sz="0" w:space="0" w:color="auto"/>
        <w:bottom w:val="none" w:sz="0" w:space="0" w:color="auto"/>
        <w:right w:val="none" w:sz="0" w:space="0" w:color="auto"/>
      </w:divBdr>
    </w:div>
    <w:div w:id="909734720">
      <w:bodyDiv w:val="1"/>
      <w:marLeft w:val="0"/>
      <w:marRight w:val="0"/>
      <w:marTop w:val="0"/>
      <w:marBottom w:val="0"/>
      <w:divBdr>
        <w:top w:val="none" w:sz="0" w:space="0" w:color="auto"/>
        <w:left w:val="none" w:sz="0" w:space="0" w:color="auto"/>
        <w:bottom w:val="none" w:sz="0" w:space="0" w:color="auto"/>
        <w:right w:val="none" w:sz="0" w:space="0" w:color="auto"/>
      </w:divBdr>
    </w:div>
    <w:div w:id="917785825">
      <w:bodyDiv w:val="1"/>
      <w:marLeft w:val="0"/>
      <w:marRight w:val="0"/>
      <w:marTop w:val="0"/>
      <w:marBottom w:val="0"/>
      <w:divBdr>
        <w:top w:val="none" w:sz="0" w:space="0" w:color="auto"/>
        <w:left w:val="none" w:sz="0" w:space="0" w:color="auto"/>
        <w:bottom w:val="none" w:sz="0" w:space="0" w:color="auto"/>
        <w:right w:val="none" w:sz="0" w:space="0" w:color="auto"/>
      </w:divBdr>
    </w:div>
    <w:div w:id="919558112">
      <w:bodyDiv w:val="1"/>
      <w:marLeft w:val="0"/>
      <w:marRight w:val="0"/>
      <w:marTop w:val="0"/>
      <w:marBottom w:val="0"/>
      <w:divBdr>
        <w:top w:val="none" w:sz="0" w:space="0" w:color="auto"/>
        <w:left w:val="none" w:sz="0" w:space="0" w:color="auto"/>
        <w:bottom w:val="none" w:sz="0" w:space="0" w:color="auto"/>
        <w:right w:val="none" w:sz="0" w:space="0" w:color="auto"/>
      </w:divBdr>
      <w:divsChild>
        <w:div w:id="2082949073">
          <w:marLeft w:val="0"/>
          <w:marRight w:val="0"/>
          <w:marTop w:val="0"/>
          <w:marBottom w:val="0"/>
          <w:divBdr>
            <w:top w:val="none" w:sz="0" w:space="0" w:color="auto"/>
            <w:left w:val="none" w:sz="0" w:space="0" w:color="auto"/>
            <w:bottom w:val="none" w:sz="0" w:space="0" w:color="auto"/>
            <w:right w:val="none" w:sz="0" w:space="0" w:color="auto"/>
          </w:divBdr>
        </w:div>
      </w:divsChild>
    </w:div>
    <w:div w:id="923339486">
      <w:bodyDiv w:val="1"/>
      <w:marLeft w:val="0"/>
      <w:marRight w:val="0"/>
      <w:marTop w:val="0"/>
      <w:marBottom w:val="0"/>
      <w:divBdr>
        <w:top w:val="none" w:sz="0" w:space="0" w:color="auto"/>
        <w:left w:val="none" w:sz="0" w:space="0" w:color="auto"/>
        <w:bottom w:val="none" w:sz="0" w:space="0" w:color="auto"/>
        <w:right w:val="none" w:sz="0" w:space="0" w:color="auto"/>
      </w:divBdr>
    </w:div>
    <w:div w:id="951475503">
      <w:bodyDiv w:val="1"/>
      <w:marLeft w:val="0"/>
      <w:marRight w:val="0"/>
      <w:marTop w:val="0"/>
      <w:marBottom w:val="0"/>
      <w:divBdr>
        <w:top w:val="none" w:sz="0" w:space="0" w:color="auto"/>
        <w:left w:val="none" w:sz="0" w:space="0" w:color="auto"/>
        <w:bottom w:val="none" w:sz="0" w:space="0" w:color="auto"/>
        <w:right w:val="none" w:sz="0" w:space="0" w:color="auto"/>
      </w:divBdr>
    </w:div>
    <w:div w:id="966351419">
      <w:bodyDiv w:val="1"/>
      <w:marLeft w:val="0"/>
      <w:marRight w:val="0"/>
      <w:marTop w:val="0"/>
      <w:marBottom w:val="0"/>
      <w:divBdr>
        <w:top w:val="none" w:sz="0" w:space="0" w:color="auto"/>
        <w:left w:val="none" w:sz="0" w:space="0" w:color="auto"/>
        <w:bottom w:val="none" w:sz="0" w:space="0" w:color="auto"/>
        <w:right w:val="none" w:sz="0" w:space="0" w:color="auto"/>
      </w:divBdr>
    </w:div>
    <w:div w:id="1017465344">
      <w:bodyDiv w:val="1"/>
      <w:marLeft w:val="0"/>
      <w:marRight w:val="0"/>
      <w:marTop w:val="0"/>
      <w:marBottom w:val="0"/>
      <w:divBdr>
        <w:top w:val="none" w:sz="0" w:space="0" w:color="auto"/>
        <w:left w:val="none" w:sz="0" w:space="0" w:color="auto"/>
        <w:bottom w:val="none" w:sz="0" w:space="0" w:color="auto"/>
        <w:right w:val="none" w:sz="0" w:space="0" w:color="auto"/>
      </w:divBdr>
      <w:divsChild>
        <w:div w:id="745341336">
          <w:marLeft w:val="0"/>
          <w:marRight w:val="0"/>
          <w:marTop w:val="0"/>
          <w:marBottom w:val="0"/>
          <w:divBdr>
            <w:top w:val="none" w:sz="0" w:space="0" w:color="auto"/>
            <w:left w:val="none" w:sz="0" w:space="0" w:color="auto"/>
            <w:bottom w:val="none" w:sz="0" w:space="0" w:color="auto"/>
            <w:right w:val="none" w:sz="0" w:space="0" w:color="auto"/>
          </w:divBdr>
        </w:div>
      </w:divsChild>
    </w:div>
    <w:div w:id="1069352654">
      <w:bodyDiv w:val="1"/>
      <w:marLeft w:val="0"/>
      <w:marRight w:val="0"/>
      <w:marTop w:val="0"/>
      <w:marBottom w:val="0"/>
      <w:divBdr>
        <w:top w:val="none" w:sz="0" w:space="0" w:color="auto"/>
        <w:left w:val="none" w:sz="0" w:space="0" w:color="auto"/>
        <w:bottom w:val="none" w:sz="0" w:space="0" w:color="auto"/>
        <w:right w:val="none" w:sz="0" w:space="0" w:color="auto"/>
      </w:divBdr>
      <w:divsChild>
        <w:div w:id="1128354920">
          <w:marLeft w:val="0"/>
          <w:marRight w:val="0"/>
          <w:marTop w:val="0"/>
          <w:marBottom w:val="0"/>
          <w:divBdr>
            <w:top w:val="none" w:sz="0" w:space="0" w:color="auto"/>
            <w:left w:val="none" w:sz="0" w:space="0" w:color="auto"/>
            <w:bottom w:val="none" w:sz="0" w:space="0" w:color="auto"/>
            <w:right w:val="none" w:sz="0" w:space="0" w:color="auto"/>
          </w:divBdr>
        </w:div>
      </w:divsChild>
    </w:div>
    <w:div w:id="1071805009">
      <w:bodyDiv w:val="1"/>
      <w:marLeft w:val="0"/>
      <w:marRight w:val="0"/>
      <w:marTop w:val="0"/>
      <w:marBottom w:val="0"/>
      <w:divBdr>
        <w:top w:val="none" w:sz="0" w:space="0" w:color="auto"/>
        <w:left w:val="none" w:sz="0" w:space="0" w:color="auto"/>
        <w:bottom w:val="none" w:sz="0" w:space="0" w:color="auto"/>
        <w:right w:val="none" w:sz="0" w:space="0" w:color="auto"/>
      </w:divBdr>
    </w:div>
    <w:div w:id="1169369414">
      <w:bodyDiv w:val="1"/>
      <w:marLeft w:val="0"/>
      <w:marRight w:val="0"/>
      <w:marTop w:val="0"/>
      <w:marBottom w:val="0"/>
      <w:divBdr>
        <w:top w:val="none" w:sz="0" w:space="0" w:color="auto"/>
        <w:left w:val="none" w:sz="0" w:space="0" w:color="auto"/>
        <w:bottom w:val="none" w:sz="0" w:space="0" w:color="auto"/>
        <w:right w:val="none" w:sz="0" w:space="0" w:color="auto"/>
      </w:divBdr>
    </w:div>
    <w:div w:id="1212501516">
      <w:bodyDiv w:val="1"/>
      <w:marLeft w:val="0"/>
      <w:marRight w:val="0"/>
      <w:marTop w:val="0"/>
      <w:marBottom w:val="0"/>
      <w:divBdr>
        <w:top w:val="none" w:sz="0" w:space="0" w:color="auto"/>
        <w:left w:val="none" w:sz="0" w:space="0" w:color="auto"/>
        <w:bottom w:val="none" w:sz="0" w:space="0" w:color="auto"/>
        <w:right w:val="none" w:sz="0" w:space="0" w:color="auto"/>
      </w:divBdr>
    </w:div>
    <w:div w:id="1225681746">
      <w:bodyDiv w:val="1"/>
      <w:marLeft w:val="0"/>
      <w:marRight w:val="0"/>
      <w:marTop w:val="0"/>
      <w:marBottom w:val="0"/>
      <w:divBdr>
        <w:top w:val="none" w:sz="0" w:space="0" w:color="auto"/>
        <w:left w:val="none" w:sz="0" w:space="0" w:color="auto"/>
        <w:bottom w:val="none" w:sz="0" w:space="0" w:color="auto"/>
        <w:right w:val="none" w:sz="0" w:space="0" w:color="auto"/>
      </w:divBdr>
    </w:div>
    <w:div w:id="1331641307">
      <w:bodyDiv w:val="1"/>
      <w:marLeft w:val="0"/>
      <w:marRight w:val="0"/>
      <w:marTop w:val="0"/>
      <w:marBottom w:val="0"/>
      <w:divBdr>
        <w:top w:val="none" w:sz="0" w:space="0" w:color="auto"/>
        <w:left w:val="none" w:sz="0" w:space="0" w:color="auto"/>
        <w:bottom w:val="none" w:sz="0" w:space="0" w:color="auto"/>
        <w:right w:val="none" w:sz="0" w:space="0" w:color="auto"/>
      </w:divBdr>
    </w:div>
    <w:div w:id="1337997791">
      <w:bodyDiv w:val="1"/>
      <w:marLeft w:val="0"/>
      <w:marRight w:val="0"/>
      <w:marTop w:val="0"/>
      <w:marBottom w:val="0"/>
      <w:divBdr>
        <w:top w:val="none" w:sz="0" w:space="0" w:color="auto"/>
        <w:left w:val="none" w:sz="0" w:space="0" w:color="auto"/>
        <w:bottom w:val="none" w:sz="0" w:space="0" w:color="auto"/>
        <w:right w:val="none" w:sz="0" w:space="0" w:color="auto"/>
      </w:divBdr>
    </w:div>
    <w:div w:id="1352410530">
      <w:bodyDiv w:val="1"/>
      <w:marLeft w:val="0"/>
      <w:marRight w:val="0"/>
      <w:marTop w:val="0"/>
      <w:marBottom w:val="0"/>
      <w:divBdr>
        <w:top w:val="none" w:sz="0" w:space="0" w:color="auto"/>
        <w:left w:val="none" w:sz="0" w:space="0" w:color="auto"/>
        <w:bottom w:val="none" w:sz="0" w:space="0" w:color="auto"/>
        <w:right w:val="none" w:sz="0" w:space="0" w:color="auto"/>
      </w:divBdr>
    </w:div>
    <w:div w:id="1387605907">
      <w:bodyDiv w:val="1"/>
      <w:marLeft w:val="0"/>
      <w:marRight w:val="0"/>
      <w:marTop w:val="0"/>
      <w:marBottom w:val="0"/>
      <w:divBdr>
        <w:top w:val="none" w:sz="0" w:space="0" w:color="auto"/>
        <w:left w:val="none" w:sz="0" w:space="0" w:color="auto"/>
        <w:bottom w:val="none" w:sz="0" w:space="0" w:color="auto"/>
        <w:right w:val="none" w:sz="0" w:space="0" w:color="auto"/>
      </w:divBdr>
    </w:div>
    <w:div w:id="1408502276">
      <w:bodyDiv w:val="1"/>
      <w:marLeft w:val="0"/>
      <w:marRight w:val="0"/>
      <w:marTop w:val="0"/>
      <w:marBottom w:val="0"/>
      <w:divBdr>
        <w:top w:val="none" w:sz="0" w:space="0" w:color="auto"/>
        <w:left w:val="none" w:sz="0" w:space="0" w:color="auto"/>
        <w:bottom w:val="none" w:sz="0" w:space="0" w:color="auto"/>
        <w:right w:val="none" w:sz="0" w:space="0" w:color="auto"/>
      </w:divBdr>
    </w:div>
    <w:div w:id="1445148803">
      <w:bodyDiv w:val="1"/>
      <w:marLeft w:val="0"/>
      <w:marRight w:val="0"/>
      <w:marTop w:val="0"/>
      <w:marBottom w:val="0"/>
      <w:divBdr>
        <w:top w:val="none" w:sz="0" w:space="0" w:color="auto"/>
        <w:left w:val="none" w:sz="0" w:space="0" w:color="auto"/>
        <w:bottom w:val="none" w:sz="0" w:space="0" w:color="auto"/>
        <w:right w:val="none" w:sz="0" w:space="0" w:color="auto"/>
      </w:divBdr>
    </w:div>
    <w:div w:id="1446071171">
      <w:bodyDiv w:val="1"/>
      <w:marLeft w:val="0"/>
      <w:marRight w:val="0"/>
      <w:marTop w:val="0"/>
      <w:marBottom w:val="0"/>
      <w:divBdr>
        <w:top w:val="none" w:sz="0" w:space="0" w:color="auto"/>
        <w:left w:val="none" w:sz="0" w:space="0" w:color="auto"/>
        <w:bottom w:val="none" w:sz="0" w:space="0" w:color="auto"/>
        <w:right w:val="none" w:sz="0" w:space="0" w:color="auto"/>
      </w:divBdr>
    </w:div>
    <w:div w:id="1468402487">
      <w:bodyDiv w:val="1"/>
      <w:marLeft w:val="0"/>
      <w:marRight w:val="0"/>
      <w:marTop w:val="0"/>
      <w:marBottom w:val="0"/>
      <w:divBdr>
        <w:top w:val="none" w:sz="0" w:space="0" w:color="auto"/>
        <w:left w:val="none" w:sz="0" w:space="0" w:color="auto"/>
        <w:bottom w:val="none" w:sz="0" w:space="0" w:color="auto"/>
        <w:right w:val="none" w:sz="0" w:space="0" w:color="auto"/>
      </w:divBdr>
    </w:div>
    <w:div w:id="1481382384">
      <w:bodyDiv w:val="1"/>
      <w:marLeft w:val="0"/>
      <w:marRight w:val="0"/>
      <w:marTop w:val="0"/>
      <w:marBottom w:val="0"/>
      <w:divBdr>
        <w:top w:val="none" w:sz="0" w:space="0" w:color="auto"/>
        <w:left w:val="none" w:sz="0" w:space="0" w:color="auto"/>
        <w:bottom w:val="none" w:sz="0" w:space="0" w:color="auto"/>
        <w:right w:val="none" w:sz="0" w:space="0" w:color="auto"/>
      </w:divBdr>
    </w:div>
    <w:div w:id="1491948386">
      <w:bodyDiv w:val="1"/>
      <w:marLeft w:val="0"/>
      <w:marRight w:val="0"/>
      <w:marTop w:val="0"/>
      <w:marBottom w:val="0"/>
      <w:divBdr>
        <w:top w:val="none" w:sz="0" w:space="0" w:color="auto"/>
        <w:left w:val="none" w:sz="0" w:space="0" w:color="auto"/>
        <w:bottom w:val="none" w:sz="0" w:space="0" w:color="auto"/>
        <w:right w:val="none" w:sz="0" w:space="0" w:color="auto"/>
      </w:divBdr>
    </w:div>
    <w:div w:id="1492334200">
      <w:bodyDiv w:val="1"/>
      <w:marLeft w:val="0"/>
      <w:marRight w:val="0"/>
      <w:marTop w:val="0"/>
      <w:marBottom w:val="0"/>
      <w:divBdr>
        <w:top w:val="none" w:sz="0" w:space="0" w:color="auto"/>
        <w:left w:val="none" w:sz="0" w:space="0" w:color="auto"/>
        <w:bottom w:val="none" w:sz="0" w:space="0" w:color="auto"/>
        <w:right w:val="none" w:sz="0" w:space="0" w:color="auto"/>
      </w:divBdr>
    </w:div>
    <w:div w:id="1540243652">
      <w:bodyDiv w:val="1"/>
      <w:marLeft w:val="0"/>
      <w:marRight w:val="0"/>
      <w:marTop w:val="0"/>
      <w:marBottom w:val="0"/>
      <w:divBdr>
        <w:top w:val="none" w:sz="0" w:space="0" w:color="auto"/>
        <w:left w:val="none" w:sz="0" w:space="0" w:color="auto"/>
        <w:bottom w:val="none" w:sz="0" w:space="0" w:color="auto"/>
        <w:right w:val="none" w:sz="0" w:space="0" w:color="auto"/>
      </w:divBdr>
    </w:div>
    <w:div w:id="1540776721">
      <w:bodyDiv w:val="1"/>
      <w:marLeft w:val="0"/>
      <w:marRight w:val="0"/>
      <w:marTop w:val="0"/>
      <w:marBottom w:val="0"/>
      <w:divBdr>
        <w:top w:val="none" w:sz="0" w:space="0" w:color="auto"/>
        <w:left w:val="none" w:sz="0" w:space="0" w:color="auto"/>
        <w:bottom w:val="none" w:sz="0" w:space="0" w:color="auto"/>
        <w:right w:val="none" w:sz="0" w:space="0" w:color="auto"/>
      </w:divBdr>
    </w:div>
    <w:div w:id="1583251432">
      <w:bodyDiv w:val="1"/>
      <w:marLeft w:val="0"/>
      <w:marRight w:val="0"/>
      <w:marTop w:val="0"/>
      <w:marBottom w:val="0"/>
      <w:divBdr>
        <w:top w:val="none" w:sz="0" w:space="0" w:color="auto"/>
        <w:left w:val="none" w:sz="0" w:space="0" w:color="auto"/>
        <w:bottom w:val="none" w:sz="0" w:space="0" w:color="auto"/>
        <w:right w:val="none" w:sz="0" w:space="0" w:color="auto"/>
      </w:divBdr>
    </w:div>
    <w:div w:id="1600411043">
      <w:bodyDiv w:val="1"/>
      <w:marLeft w:val="0"/>
      <w:marRight w:val="0"/>
      <w:marTop w:val="0"/>
      <w:marBottom w:val="0"/>
      <w:divBdr>
        <w:top w:val="none" w:sz="0" w:space="0" w:color="auto"/>
        <w:left w:val="none" w:sz="0" w:space="0" w:color="auto"/>
        <w:bottom w:val="none" w:sz="0" w:space="0" w:color="auto"/>
        <w:right w:val="none" w:sz="0" w:space="0" w:color="auto"/>
      </w:divBdr>
    </w:div>
    <w:div w:id="1610165233">
      <w:bodyDiv w:val="1"/>
      <w:marLeft w:val="0"/>
      <w:marRight w:val="0"/>
      <w:marTop w:val="0"/>
      <w:marBottom w:val="0"/>
      <w:divBdr>
        <w:top w:val="none" w:sz="0" w:space="0" w:color="auto"/>
        <w:left w:val="none" w:sz="0" w:space="0" w:color="auto"/>
        <w:bottom w:val="none" w:sz="0" w:space="0" w:color="auto"/>
        <w:right w:val="none" w:sz="0" w:space="0" w:color="auto"/>
      </w:divBdr>
      <w:divsChild>
        <w:div w:id="1927885126">
          <w:marLeft w:val="0"/>
          <w:marRight w:val="0"/>
          <w:marTop w:val="0"/>
          <w:marBottom w:val="0"/>
          <w:divBdr>
            <w:top w:val="none" w:sz="0" w:space="0" w:color="auto"/>
            <w:left w:val="none" w:sz="0" w:space="0" w:color="auto"/>
            <w:bottom w:val="none" w:sz="0" w:space="0" w:color="auto"/>
            <w:right w:val="none" w:sz="0" w:space="0" w:color="auto"/>
          </w:divBdr>
        </w:div>
      </w:divsChild>
    </w:div>
    <w:div w:id="1636330043">
      <w:bodyDiv w:val="1"/>
      <w:marLeft w:val="0"/>
      <w:marRight w:val="0"/>
      <w:marTop w:val="0"/>
      <w:marBottom w:val="0"/>
      <w:divBdr>
        <w:top w:val="none" w:sz="0" w:space="0" w:color="auto"/>
        <w:left w:val="none" w:sz="0" w:space="0" w:color="auto"/>
        <w:bottom w:val="none" w:sz="0" w:space="0" w:color="auto"/>
        <w:right w:val="none" w:sz="0" w:space="0" w:color="auto"/>
      </w:divBdr>
    </w:div>
    <w:div w:id="1644461437">
      <w:bodyDiv w:val="1"/>
      <w:marLeft w:val="0"/>
      <w:marRight w:val="0"/>
      <w:marTop w:val="0"/>
      <w:marBottom w:val="0"/>
      <w:divBdr>
        <w:top w:val="none" w:sz="0" w:space="0" w:color="auto"/>
        <w:left w:val="none" w:sz="0" w:space="0" w:color="auto"/>
        <w:bottom w:val="none" w:sz="0" w:space="0" w:color="auto"/>
        <w:right w:val="none" w:sz="0" w:space="0" w:color="auto"/>
      </w:divBdr>
    </w:div>
    <w:div w:id="1662344472">
      <w:bodyDiv w:val="1"/>
      <w:marLeft w:val="0"/>
      <w:marRight w:val="0"/>
      <w:marTop w:val="0"/>
      <w:marBottom w:val="0"/>
      <w:divBdr>
        <w:top w:val="none" w:sz="0" w:space="0" w:color="auto"/>
        <w:left w:val="none" w:sz="0" w:space="0" w:color="auto"/>
        <w:bottom w:val="none" w:sz="0" w:space="0" w:color="auto"/>
        <w:right w:val="none" w:sz="0" w:space="0" w:color="auto"/>
      </w:divBdr>
    </w:div>
    <w:div w:id="1715882509">
      <w:bodyDiv w:val="1"/>
      <w:marLeft w:val="0"/>
      <w:marRight w:val="0"/>
      <w:marTop w:val="0"/>
      <w:marBottom w:val="0"/>
      <w:divBdr>
        <w:top w:val="none" w:sz="0" w:space="0" w:color="auto"/>
        <w:left w:val="none" w:sz="0" w:space="0" w:color="auto"/>
        <w:bottom w:val="none" w:sz="0" w:space="0" w:color="auto"/>
        <w:right w:val="none" w:sz="0" w:space="0" w:color="auto"/>
      </w:divBdr>
    </w:div>
    <w:div w:id="1818643361">
      <w:bodyDiv w:val="1"/>
      <w:marLeft w:val="0"/>
      <w:marRight w:val="0"/>
      <w:marTop w:val="0"/>
      <w:marBottom w:val="0"/>
      <w:divBdr>
        <w:top w:val="none" w:sz="0" w:space="0" w:color="auto"/>
        <w:left w:val="none" w:sz="0" w:space="0" w:color="auto"/>
        <w:bottom w:val="none" w:sz="0" w:space="0" w:color="auto"/>
        <w:right w:val="none" w:sz="0" w:space="0" w:color="auto"/>
      </w:divBdr>
    </w:div>
    <w:div w:id="1835143546">
      <w:bodyDiv w:val="1"/>
      <w:marLeft w:val="0"/>
      <w:marRight w:val="0"/>
      <w:marTop w:val="0"/>
      <w:marBottom w:val="0"/>
      <w:divBdr>
        <w:top w:val="none" w:sz="0" w:space="0" w:color="auto"/>
        <w:left w:val="none" w:sz="0" w:space="0" w:color="auto"/>
        <w:bottom w:val="none" w:sz="0" w:space="0" w:color="auto"/>
        <w:right w:val="none" w:sz="0" w:space="0" w:color="auto"/>
      </w:divBdr>
    </w:div>
    <w:div w:id="1844084078">
      <w:bodyDiv w:val="1"/>
      <w:marLeft w:val="0"/>
      <w:marRight w:val="0"/>
      <w:marTop w:val="0"/>
      <w:marBottom w:val="0"/>
      <w:divBdr>
        <w:top w:val="none" w:sz="0" w:space="0" w:color="auto"/>
        <w:left w:val="none" w:sz="0" w:space="0" w:color="auto"/>
        <w:bottom w:val="none" w:sz="0" w:space="0" w:color="auto"/>
        <w:right w:val="none" w:sz="0" w:space="0" w:color="auto"/>
      </w:divBdr>
    </w:div>
    <w:div w:id="1879928268">
      <w:bodyDiv w:val="1"/>
      <w:marLeft w:val="0"/>
      <w:marRight w:val="0"/>
      <w:marTop w:val="0"/>
      <w:marBottom w:val="0"/>
      <w:divBdr>
        <w:top w:val="none" w:sz="0" w:space="0" w:color="auto"/>
        <w:left w:val="none" w:sz="0" w:space="0" w:color="auto"/>
        <w:bottom w:val="none" w:sz="0" w:space="0" w:color="auto"/>
        <w:right w:val="none" w:sz="0" w:space="0" w:color="auto"/>
      </w:divBdr>
    </w:div>
    <w:div w:id="1890530081">
      <w:bodyDiv w:val="1"/>
      <w:marLeft w:val="0"/>
      <w:marRight w:val="0"/>
      <w:marTop w:val="0"/>
      <w:marBottom w:val="0"/>
      <w:divBdr>
        <w:top w:val="none" w:sz="0" w:space="0" w:color="auto"/>
        <w:left w:val="none" w:sz="0" w:space="0" w:color="auto"/>
        <w:bottom w:val="none" w:sz="0" w:space="0" w:color="auto"/>
        <w:right w:val="none" w:sz="0" w:space="0" w:color="auto"/>
      </w:divBdr>
    </w:div>
    <w:div w:id="1921521645">
      <w:bodyDiv w:val="1"/>
      <w:marLeft w:val="0"/>
      <w:marRight w:val="0"/>
      <w:marTop w:val="0"/>
      <w:marBottom w:val="0"/>
      <w:divBdr>
        <w:top w:val="none" w:sz="0" w:space="0" w:color="auto"/>
        <w:left w:val="none" w:sz="0" w:space="0" w:color="auto"/>
        <w:bottom w:val="none" w:sz="0" w:space="0" w:color="auto"/>
        <w:right w:val="none" w:sz="0" w:space="0" w:color="auto"/>
      </w:divBdr>
    </w:div>
    <w:div w:id="1925650600">
      <w:bodyDiv w:val="1"/>
      <w:marLeft w:val="0"/>
      <w:marRight w:val="0"/>
      <w:marTop w:val="0"/>
      <w:marBottom w:val="0"/>
      <w:divBdr>
        <w:top w:val="none" w:sz="0" w:space="0" w:color="auto"/>
        <w:left w:val="none" w:sz="0" w:space="0" w:color="auto"/>
        <w:bottom w:val="none" w:sz="0" w:space="0" w:color="auto"/>
        <w:right w:val="none" w:sz="0" w:space="0" w:color="auto"/>
      </w:divBdr>
    </w:div>
    <w:div w:id="1949241737">
      <w:bodyDiv w:val="1"/>
      <w:marLeft w:val="0"/>
      <w:marRight w:val="0"/>
      <w:marTop w:val="0"/>
      <w:marBottom w:val="0"/>
      <w:divBdr>
        <w:top w:val="none" w:sz="0" w:space="0" w:color="auto"/>
        <w:left w:val="none" w:sz="0" w:space="0" w:color="auto"/>
        <w:bottom w:val="none" w:sz="0" w:space="0" w:color="auto"/>
        <w:right w:val="none" w:sz="0" w:space="0" w:color="auto"/>
      </w:divBdr>
    </w:div>
    <w:div w:id="1973973308">
      <w:bodyDiv w:val="1"/>
      <w:marLeft w:val="0"/>
      <w:marRight w:val="0"/>
      <w:marTop w:val="0"/>
      <w:marBottom w:val="0"/>
      <w:divBdr>
        <w:top w:val="none" w:sz="0" w:space="0" w:color="auto"/>
        <w:left w:val="none" w:sz="0" w:space="0" w:color="auto"/>
        <w:bottom w:val="none" w:sz="0" w:space="0" w:color="auto"/>
        <w:right w:val="none" w:sz="0" w:space="0" w:color="auto"/>
      </w:divBdr>
    </w:div>
    <w:div w:id="1978367025">
      <w:bodyDiv w:val="1"/>
      <w:marLeft w:val="0"/>
      <w:marRight w:val="0"/>
      <w:marTop w:val="0"/>
      <w:marBottom w:val="0"/>
      <w:divBdr>
        <w:top w:val="none" w:sz="0" w:space="0" w:color="auto"/>
        <w:left w:val="none" w:sz="0" w:space="0" w:color="auto"/>
        <w:bottom w:val="none" w:sz="0" w:space="0" w:color="auto"/>
        <w:right w:val="none" w:sz="0" w:space="0" w:color="auto"/>
      </w:divBdr>
    </w:div>
    <w:div w:id="1985430050">
      <w:bodyDiv w:val="1"/>
      <w:marLeft w:val="0"/>
      <w:marRight w:val="0"/>
      <w:marTop w:val="0"/>
      <w:marBottom w:val="0"/>
      <w:divBdr>
        <w:top w:val="none" w:sz="0" w:space="0" w:color="auto"/>
        <w:left w:val="none" w:sz="0" w:space="0" w:color="auto"/>
        <w:bottom w:val="none" w:sz="0" w:space="0" w:color="auto"/>
        <w:right w:val="none" w:sz="0" w:space="0" w:color="auto"/>
      </w:divBdr>
    </w:div>
    <w:div w:id="2000423132">
      <w:bodyDiv w:val="1"/>
      <w:marLeft w:val="0"/>
      <w:marRight w:val="0"/>
      <w:marTop w:val="0"/>
      <w:marBottom w:val="0"/>
      <w:divBdr>
        <w:top w:val="none" w:sz="0" w:space="0" w:color="auto"/>
        <w:left w:val="none" w:sz="0" w:space="0" w:color="auto"/>
        <w:bottom w:val="none" w:sz="0" w:space="0" w:color="auto"/>
        <w:right w:val="none" w:sz="0" w:space="0" w:color="auto"/>
      </w:divBdr>
    </w:div>
    <w:div w:id="2009094122">
      <w:bodyDiv w:val="1"/>
      <w:marLeft w:val="0"/>
      <w:marRight w:val="0"/>
      <w:marTop w:val="0"/>
      <w:marBottom w:val="0"/>
      <w:divBdr>
        <w:top w:val="none" w:sz="0" w:space="0" w:color="auto"/>
        <w:left w:val="none" w:sz="0" w:space="0" w:color="auto"/>
        <w:bottom w:val="none" w:sz="0" w:space="0" w:color="auto"/>
        <w:right w:val="none" w:sz="0" w:space="0" w:color="auto"/>
      </w:divBdr>
    </w:div>
    <w:div w:id="210475742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png"/><Relationship Id="rId26" Type="http://schemas.openxmlformats.org/officeDocument/2006/relationships/chart" Target="charts/chart7.xml"/><Relationship Id="rId3" Type="http://schemas.openxmlformats.org/officeDocument/2006/relationships/customXml" Target="../customXml/item3.xml"/><Relationship Id="rId21" Type="http://schemas.openxmlformats.org/officeDocument/2006/relationships/chart" Target="charts/chart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chart" Target="charts/chart6.xm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chart" Target="charts/chart2.xml"/><Relationship Id="rId29" Type="http://schemas.openxmlformats.org/officeDocument/2006/relationships/chart" Target="charts/chart10.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chart" Target="charts/chart5.xml"/><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chart" Target="charts/chart4.xml"/><Relationship Id="rId28" Type="http://schemas.openxmlformats.org/officeDocument/2006/relationships/chart" Target="charts/chart9.xml"/><Relationship Id="rId10" Type="http://schemas.openxmlformats.org/officeDocument/2006/relationships/footnotes" Target="footnotes.xml"/><Relationship Id="rId19" Type="http://schemas.openxmlformats.org/officeDocument/2006/relationships/chart" Target="charts/chart1.xml"/><Relationship Id="rId31"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footer" Target="footer3.xml"/><Relationship Id="rId27" Type="http://schemas.openxmlformats.org/officeDocument/2006/relationships/chart" Target="charts/chart8.xml"/><Relationship Id="rId30" Type="http://schemas.openxmlformats.org/officeDocument/2006/relationships/chart" Target="charts/chart11.xml"/><Relationship Id="rId8" Type="http://schemas.openxmlformats.org/officeDocument/2006/relationships/settings" Target="settings.xml"/></Relationships>
</file>

<file path=word/_rels/footnotes.xml.rels><?xml version="1.0" encoding="UTF-8" standalone="yes"?>
<Relationships xmlns="http://schemas.openxmlformats.org/package/2006/relationships"><Relationship Id="rId8" Type="http://schemas.openxmlformats.org/officeDocument/2006/relationships/hyperlink" Target="https://www.hhs.texas.gov/sites/default/files/documents/y2-dpp-evaluation-plan.pdf" TargetMode="External"/><Relationship Id="rId3" Type="http://schemas.openxmlformats.org/officeDocument/2006/relationships/hyperlink" Target="https://www.hhs.texas.gov/services/health/medicaid-chip/provider-information/medicaid-chip-directed-payment-programs/comprehensive-hospital-increase-reimbursement-program-chirp" TargetMode="External"/><Relationship Id="rId7" Type="http://schemas.openxmlformats.org/officeDocument/2006/relationships/hyperlink" Target="https://www.hhs.texas.gov/sites/default/files/documents/y1-dpp-evaluation-plan.pdf" TargetMode="External"/><Relationship Id="rId12" Type="http://schemas.openxmlformats.org/officeDocument/2006/relationships/hyperlink" Target="https://www.hhs.texas.gov/about/process-improvement/improving-services-texans/medicaid-chip-quality-efficiency-improvement/non-medical-drivers-health" TargetMode="External"/><Relationship Id="rId2" Type="http://schemas.openxmlformats.org/officeDocument/2006/relationships/hyperlink" Target="https://www.ahrq.gov/talkingquality/measures/types.html" TargetMode="External"/><Relationship Id="rId1" Type="http://schemas.openxmlformats.org/officeDocument/2006/relationships/hyperlink" Target="https://www.hhs.texas.gov/about-hhs/process-improvement/improving-services-texans/medicaid-chip-quality-efficiency-improvement/quality-strategy" TargetMode="External"/><Relationship Id="rId6" Type="http://schemas.openxmlformats.org/officeDocument/2006/relationships/hyperlink" Target="https://www.hhs.texas.gov/services/health/medicaid-chip/provider-information/medicaid-chip-directed-payment-programs/directed-payment-program-behavioral-health-services-dpp-bhs" TargetMode="External"/><Relationship Id="rId11" Type="http://schemas.openxmlformats.org/officeDocument/2006/relationships/hyperlink" Target="https://www.hhs.texas.gov/sites/default/files/documents/laws-regulations/policies-rules/1115-waiver/waiver-renewal/attachment-n-health-it-strategic-plan.pdfeco" TargetMode="External"/><Relationship Id="rId5" Type="http://schemas.openxmlformats.org/officeDocument/2006/relationships/hyperlink" Target="https://www.hhs.texas.gov/services/health/medicaid-chip/provider-information/medicaid-chip-directed-payment-programs/rural-access-primary-preventive-services-rapps-program" TargetMode="External"/><Relationship Id="rId10" Type="http://schemas.openxmlformats.org/officeDocument/2006/relationships/hyperlink" Target="https://apps.3mhis.com/docs/Groupers/PFP/methodology_overview/grp305_pfp_v2.2_meth_overview.pdf" TargetMode="External"/><Relationship Id="rId4" Type="http://schemas.openxmlformats.org/officeDocument/2006/relationships/hyperlink" Target="https://www.hhs.texas.gov/services/health/medicaid-chip/provider-information/medicaid-chip-directed-payment-programs/texas-incentives-physicians-professional-services-tipps-program" TargetMode="External"/><Relationship Id="rId9" Type="http://schemas.openxmlformats.org/officeDocument/2006/relationships/hyperlink" Target="https://www.hhs.texas.gov/sites/default/files/documents/y3-dpp-evaluation-plan.pd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Dillon01\Desktop\HHS-Template-for-Reports-Basic-Instructions.dotx"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https://txhhs.sharepoint.com/sites/hhsc/hsosm/mcd/twocc/tx1115/dsrippfd/Shared%20Documents/Evaluation/SFY24%20-%20Year%203/SFY%202024%20(Year%203)%20Evaluation%20Report/EQRO%20Data/DPP%20MY2022%20Final.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https://txhhs.sharepoint.com/sites/hhsc/hsosm/mcd/twocc/tx1115/dsrippfd/Shared%20Documents/Evaluation/SFY24%20-%20Year%203/SFY%202024%20(Year%203)%20Evaluation%20Report/EQRO%20Data/DPP%20MY2022%20Final.xlsx" TargetMode="External"/><Relationship Id="rId2" Type="http://schemas.microsoft.com/office/2011/relationships/chartColorStyle" Target="colors11.xml"/><Relationship Id="rId1" Type="http://schemas.microsoft.com/office/2011/relationships/chartStyle" Target="style11.xml"/></Relationships>
</file>

<file path=word/charts/_rels/chart2.xml.rels><?xml version="1.0" encoding="UTF-8" standalone="yes"?>
<Relationships xmlns="http://schemas.openxmlformats.org/package/2006/relationships"><Relationship Id="rId3" Type="http://schemas.openxmlformats.org/officeDocument/2006/relationships/oleObject" Target="https://txhhs.sharepoint.com/sites/hhsc/hsosm/mcd/twocc/tx1115/dsrippfd/Shared%20Documents/Evaluation/SFY24%20-%20Year%203/SFY%202024%20(Year%203)%20Evaluation%20Report/Figure%20Eval%20Measure%20Performance%20Trend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txhhs.sharepoint.com/sites/hhsc/hsosm/mcd/twocc/tx1115/dsrippfd/Shared%20Documents/Evaluation/SFY24%20-%20Year%203/SFY%202024%20(Year%203)%20Evaluation%20Report/EQRO%20Data/DPP%20MY2022%20Final.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https://txhhs.sharepoint.com/sites/hhsc/hsosm/mcd/twocc/tx1115/dsrippfd/Shared%20Documents/Evaluation/SFY24%20-%20Year%203/SFY%202024%20(Year%203)%20Evaluation%20Report/EQRO%20Data/DPP%20MY2022%20Final.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https://txhhs.sharepoint.com/sites/hhsc/hsosm/mcd/twocc/tx1115/dsrippfd/Shared%20Documents/Evaluation/SFY24%20-%20Year%203/SFY%202024%20(Year%203)%20Evaluation%20Report/EQRO%20Data/DPP%20MY2022%20Final.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https://txhhs.sharepoint.com/sites/hhsc/hsosm/mcd/twocc/tx1115/dsrippfd/Shared%20Documents/Evaluation/SFY24%20-%20Year%203/SFY%202024%20(Year%203)%20Evaluation%20Report/EQRO%20Data/DPP%20MY2022%20Final.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https://txhhs.sharepoint.com/sites/hhsc/hsosm/mcd/twocc/tx1115/dsrippfd/Shared%20Documents/Evaluation/SFY24%20-%20Year%203/SFY%202024%20(Year%203)%20Evaluation%20Report/EQRO%20Data/DPP%20MY2022%20Final.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https://txhhs.sharepoint.com/sites/hhsc/hsosm/mcd/twocc/tx1115/dsrippfd/Shared%20Documents/Evaluation/SFY24%20-%20Year%203/SFY%202024%20(Year%203)%20Evaluation%20Report/EQRO%20Data/DPP%20MY2022%20Final.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SFY 2022</c:v>
                </c:pt>
              </c:strCache>
            </c:strRef>
          </c:tx>
          <c:spPr>
            <a:solidFill>
              <a:schemeClr val="tx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Children's 
(n=11)</c:v>
                </c:pt>
                <c:pt idx="1">
                  <c:v>Non-State-
Owned IMD 
(n=33)</c:v>
                </c:pt>
                <c:pt idx="2">
                  <c:v>Rural 
(n=133)</c:v>
                </c:pt>
                <c:pt idx="3">
                  <c:v>State-Owned 
IMD 
(n=11)</c:v>
                </c:pt>
                <c:pt idx="4">
                  <c:v>State-Owned 
Non-IMD 
(n=4)</c:v>
                </c:pt>
                <c:pt idx="5">
                  <c:v>Urban 
(n=199)</c:v>
                </c:pt>
              </c:strCache>
            </c:strRef>
          </c:cat>
          <c:val>
            <c:numRef>
              <c:f>Sheet1!$B$2:$B$7</c:f>
              <c:numCache>
                <c:formatCode>0%</c:formatCode>
                <c:ptCount val="6"/>
                <c:pt idx="0">
                  <c:v>0.91</c:v>
                </c:pt>
                <c:pt idx="1">
                  <c:v>0.03</c:v>
                </c:pt>
                <c:pt idx="2">
                  <c:v>0.52</c:v>
                </c:pt>
                <c:pt idx="3">
                  <c:v>0</c:v>
                </c:pt>
                <c:pt idx="4">
                  <c:v>0.75</c:v>
                </c:pt>
                <c:pt idx="5">
                  <c:v>0.83</c:v>
                </c:pt>
              </c:numCache>
            </c:numRef>
          </c:val>
          <c:extLst>
            <c:ext xmlns:c16="http://schemas.microsoft.com/office/drawing/2014/chart" uri="{C3380CC4-5D6E-409C-BE32-E72D297353CC}">
              <c16:uniqueId val="{00000000-152E-47C1-82F4-F8B2D5D3783B}"/>
            </c:ext>
          </c:extLst>
        </c:ser>
        <c:ser>
          <c:idx val="1"/>
          <c:order val="1"/>
          <c:tx>
            <c:strRef>
              <c:f>Sheet1!$C$1</c:f>
              <c:strCache>
                <c:ptCount val="1"/>
                <c:pt idx="0">
                  <c:v>SFY 2024</c:v>
                </c:pt>
              </c:strCache>
            </c:strRef>
          </c:tx>
          <c:spPr>
            <a:solidFill>
              <a:schemeClr val="tx1">
                <a:lumMod val="40000"/>
                <a:lumOff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Children's 
(n=11)</c:v>
                </c:pt>
                <c:pt idx="1">
                  <c:v>Non-State-
Owned IMD 
(n=33)</c:v>
                </c:pt>
                <c:pt idx="2">
                  <c:v>Rural 
(n=133)</c:v>
                </c:pt>
                <c:pt idx="3">
                  <c:v>State-Owned 
IMD 
(n=11)</c:v>
                </c:pt>
                <c:pt idx="4">
                  <c:v>State-Owned 
Non-IMD 
(n=4)</c:v>
                </c:pt>
                <c:pt idx="5">
                  <c:v>Urban 
(n=199)</c:v>
                </c:pt>
              </c:strCache>
            </c:strRef>
          </c:cat>
          <c:val>
            <c:numRef>
              <c:f>Sheet1!$C$2:$C$7</c:f>
              <c:numCache>
                <c:formatCode>0%</c:formatCode>
                <c:ptCount val="6"/>
                <c:pt idx="0">
                  <c:v>1</c:v>
                </c:pt>
                <c:pt idx="1">
                  <c:v>0.06</c:v>
                </c:pt>
                <c:pt idx="2">
                  <c:v>0.8</c:v>
                </c:pt>
                <c:pt idx="3">
                  <c:v>0</c:v>
                </c:pt>
                <c:pt idx="4">
                  <c:v>0.75</c:v>
                </c:pt>
                <c:pt idx="5">
                  <c:v>0.93</c:v>
                </c:pt>
              </c:numCache>
            </c:numRef>
          </c:val>
          <c:extLst>
            <c:ext xmlns:c16="http://schemas.microsoft.com/office/drawing/2014/chart" uri="{C3380CC4-5D6E-409C-BE32-E72D297353CC}">
              <c16:uniqueId val="{00000001-152E-47C1-82F4-F8B2D5D3783B}"/>
            </c:ext>
          </c:extLst>
        </c:ser>
        <c:dLbls>
          <c:showLegendKey val="0"/>
          <c:showVal val="0"/>
          <c:showCatName val="0"/>
          <c:showSerName val="0"/>
          <c:showPercent val="0"/>
          <c:showBubbleSize val="0"/>
        </c:dLbls>
        <c:gapWidth val="100"/>
        <c:overlap val="-5"/>
        <c:axId val="2125994256"/>
        <c:axId val="842841872"/>
      </c:barChart>
      <c:catAx>
        <c:axId val="21259942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crossAx val="842841872"/>
        <c:crosses val="autoZero"/>
        <c:auto val="1"/>
        <c:lblAlgn val="ctr"/>
        <c:lblOffset val="100"/>
        <c:noMultiLvlLbl val="0"/>
      </c:catAx>
      <c:valAx>
        <c:axId val="842841872"/>
        <c:scaling>
          <c:orientation val="minMax"/>
          <c:max val="1.1000000000000001"/>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2125994256"/>
        <c:crosses val="autoZero"/>
        <c:crossBetween val="between"/>
        <c:majorUnit val="0.25"/>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v>2021</c:v>
          </c:tx>
          <c:spPr>
            <a:solidFill>
              <a:srgbClr val="B1812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'HEDIS Summary'!$J$18:$J$33</c:f>
              <c:strCache>
                <c:ptCount val="16"/>
                <c:pt idx="0">
                  <c:v>STAR
FUM
30 day</c:v>
                </c:pt>
                <c:pt idx="1">
                  <c:v>STAR+
PLUS
FUM
30 day</c:v>
                </c:pt>
                <c:pt idx="2">
                  <c:v>STAR
Kids
FUM
30 day</c:v>
                </c:pt>
                <c:pt idx="3">
                  <c:v>STAR
FUM
7 day</c:v>
                </c:pt>
                <c:pt idx="4">
                  <c:v>STAR
+PLUS
FUM
7 day</c:v>
                </c:pt>
                <c:pt idx="5">
                  <c:v>STAR
Kids
FUM
7 day</c:v>
                </c:pt>
                <c:pt idx="6">
                  <c:v>STAR
AMM
Acute</c:v>
                </c:pt>
                <c:pt idx="7">
                  <c:v>STAR+
PLUS
AMM
Acute</c:v>
                </c:pt>
                <c:pt idx="8">
                  <c:v>STAR
AMM
Cont</c:v>
                </c:pt>
                <c:pt idx="9">
                  <c:v>STAR
+PLUS
AMM
Cont</c:v>
                </c:pt>
                <c:pt idx="10">
                  <c:v>STAR
IET
Egmt</c:v>
                </c:pt>
                <c:pt idx="11">
                  <c:v>STAR
+PLUS
IET
Egmt</c:v>
                </c:pt>
                <c:pt idx="12">
                  <c:v>STAR
Kids
IET
Egmt</c:v>
                </c:pt>
                <c:pt idx="13">
                  <c:v>STAR
IET
Init</c:v>
                </c:pt>
                <c:pt idx="14">
                  <c:v>STAR+
PLUS
IET
Init</c:v>
                </c:pt>
                <c:pt idx="15">
                  <c:v>STAR
Kids
IET
Init</c:v>
                </c:pt>
              </c:strCache>
            </c:strRef>
          </c:cat>
          <c:val>
            <c:numRef>
              <c:f>'HEDIS Summary'!$L$18:$L$33</c:f>
              <c:numCache>
                <c:formatCode>0%</c:formatCode>
                <c:ptCount val="16"/>
                <c:pt idx="0">
                  <c:v>0.08</c:v>
                </c:pt>
                <c:pt idx="1">
                  <c:v>0.06</c:v>
                </c:pt>
                <c:pt idx="2">
                  <c:v>0.12</c:v>
                </c:pt>
                <c:pt idx="3">
                  <c:v>-0.03</c:v>
                </c:pt>
                <c:pt idx="4">
                  <c:v>-0.03</c:v>
                </c:pt>
                <c:pt idx="5">
                  <c:v>0.19</c:v>
                </c:pt>
                <c:pt idx="6">
                  <c:v>0.06</c:v>
                </c:pt>
                <c:pt idx="7">
                  <c:v>0.13</c:v>
                </c:pt>
                <c:pt idx="8">
                  <c:v>0.11</c:v>
                </c:pt>
                <c:pt idx="9">
                  <c:v>0.18</c:v>
                </c:pt>
                <c:pt idx="10">
                  <c:v>-0.08</c:v>
                </c:pt>
                <c:pt idx="11">
                  <c:v>-0.31</c:v>
                </c:pt>
                <c:pt idx="12">
                  <c:v>-0.53</c:v>
                </c:pt>
                <c:pt idx="13">
                  <c:v>-0.1</c:v>
                </c:pt>
                <c:pt idx="14">
                  <c:v>-0.14000000000000001</c:v>
                </c:pt>
                <c:pt idx="15">
                  <c:v>-0.21</c:v>
                </c:pt>
              </c:numCache>
            </c:numRef>
          </c:val>
          <c:extLst>
            <c:ext xmlns:c16="http://schemas.microsoft.com/office/drawing/2014/chart" uri="{C3380CC4-5D6E-409C-BE32-E72D297353CC}">
              <c16:uniqueId val="{0000000A-6065-44EF-B9D2-4EC0A19DD44F}"/>
            </c:ext>
          </c:extLst>
        </c:ser>
        <c:ser>
          <c:idx val="0"/>
          <c:order val="1"/>
          <c:tx>
            <c:v>2022</c:v>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'HEDIS Summary'!$J$18:$J$33</c:f>
              <c:strCache>
                <c:ptCount val="16"/>
                <c:pt idx="0">
                  <c:v>STAR
FUM
30 day</c:v>
                </c:pt>
                <c:pt idx="1">
                  <c:v>STAR+
PLUS
FUM
30 day</c:v>
                </c:pt>
                <c:pt idx="2">
                  <c:v>STAR
Kids
FUM
30 day</c:v>
                </c:pt>
                <c:pt idx="3">
                  <c:v>STAR
FUM
7 day</c:v>
                </c:pt>
                <c:pt idx="4">
                  <c:v>STAR
+PLUS
FUM
7 day</c:v>
                </c:pt>
                <c:pt idx="5">
                  <c:v>STAR
Kids
FUM
7 day</c:v>
                </c:pt>
                <c:pt idx="6">
                  <c:v>STAR
AMM
Acute</c:v>
                </c:pt>
                <c:pt idx="7">
                  <c:v>STAR+
PLUS
AMM
Acute</c:v>
                </c:pt>
                <c:pt idx="8">
                  <c:v>STAR
AMM
Cont</c:v>
                </c:pt>
                <c:pt idx="9">
                  <c:v>STAR
+PLUS
AMM
Cont</c:v>
                </c:pt>
                <c:pt idx="10">
                  <c:v>STAR
IET
Egmt</c:v>
                </c:pt>
                <c:pt idx="11">
                  <c:v>STAR
+PLUS
IET
Egmt</c:v>
                </c:pt>
                <c:pt idx="12">
                  <c:v>STAR
Kids
IET
Egmt</c:v>
                </c:pt>
                <c:pt idx="13">
                  <c:v>STAR
IET
Init</c:v>
                </c:pt>
                <c:pt idx="14">
                  <c:v>STAR+
PLUS
IET
Init</c:v>
                </c:pt>
                <c:pt idx="15">
                  <c:v>STAR
Kids
IET
Init</c:v>
                </c:pt>
              </c:strCache>
            </c:strRef>
          </c:cat>
          <c:val>
            <c:numRef>
              <c:f>'HEDIS Summary'!$K$18:$K$33</c:f>
              <c:numCache>
                <c:formatCode>0%</c:formatCode>
                <c:ptCount val="16"/>
                <c:pt idx="0">
                  <c:v>0.16274466681328348</c:v>
                </c:pt>
                <c:pt idx="1">
                  <c:v>2.8384279475981433E-3</c:v>
                </c:pt>
                <c:pt idx="2">
                  <c:v>-0.26611482916519891</c:v>
                </c:pt>
                <c:pt idx="3">
                  <c:v>0.1942695214105794</c:v>
                </c:pt>
                <c:pt idx="4">
                  <c:v>6.2948467058056234E-2</c:v>
                </c:pt>
                <c:pt idx="5">
                  <c:v>-0.22691626612699212</c:v>
                </c:pt>
                <c:pt idx="6">
                  <c:v>1.0971149939049019E-2</c:v>
                </c:pt>
                <c:pt idx="7">
                  <c:v>9.0370104204096302E-2</c:v>
                </c:pt>
                <c:pt idx="8">
                  <c:v>6.5545641729581439E-2</c:v>
                </c:pt>
                <c:pt idx="9">
                  <c:v>0.16856492027334857</c:v>
                </c:pt>
                <c:pt idx="10">
                  <c:v>-0.11136363636363644</c:v>
                </c:pt>
                <c:pt idx="11">
                  <c:v>-0.327116212338594</c:v>
                </c:pt>
                <c:pt idx="12">
                  <c:v>-0.11711711711711725</c:v>
                </c:pt>
                <c:pt idx="13">
                  <c:v>-7.6704545454545414E-2</c:v>
                </c:pt>
                <c:pt idx="14">
                  <c:v>-0.11994698475811805</c:v>
                </c:pt>
                <c:pt idx="15">
                  <c:v>-0.10162432319866721</c:v>
                </c:pt>
              </c:numCache>
            </c:numRef>
          </c:val>
          <c:extLst>
            <c:ext xmlns:c16="http://schemas.microsoft.com/office/drawing/2014/chart" uri="{C3380CC4-5D6E-409C-BE32-E72D297353CC}">
              <c16:uniqueId val="{00000013-6065-44EF-B9D2-4EC0A19DD44F}"/>
            </c:ext>
          </c:extLst>
        </c:ser>
        <c:dLbls>
          <c:showLegendKey val="0"/>
          <c:showVal val="1"/>
          <c:showCatName val="0"/>
          <c:showSerName val="0"/>
          <c:showPercent val="0"/>
          <c:showBubbleSize val="0"/>
        </c:dLbls>
        <c:gapWidth val="50"/>
        <c:overlap val="-5"/>
        <c:axId val="1986004687"/>
        <c:axId val="1662102943"/>
      </c:barChart>
      <c:catAx>
        <c:axId val="1986004687"/>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662102943"/>
        <c:crosses val="autoZero"/>
        <c:auto val="1"/>
        <c:lblAlgn val="ctr"/>
        <c:lblOffset val="100"/>
        <c:noMultiLvlLbl val="0"/>
      </c:catAx>
      <c:valAx>
        <c:axId val="1662102943"/>
        <c:scaling>
          <c:orientation val="minMax"/>
        </c:scaling>
        <c:delete val="1"/>
        <c:axPos val="l"/>
        <c:numFmt formatCode="0%" sourceLinked="1"/>
        <c:majorTickMark val="none"/>
        <c:minorTickMark val="none"/>
        <c:tickLblPos val="nextTo"/>
        <c:crossAx val="198600468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v>2021</c:v>
          </c:tx>
          <c:spPr>
            <a:solidFill>
              <a:srgbClr val="B1812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'HEDIS Summary'!$J$18:$J$33</c:f>
              <c:strCache>
                <c:ptCount val="16"/>
                <c:pt idx="0">
                  <c:v>STAR
FUM
30 day</c:v>
                </c:pt>
                <c:pt idx="1">
                  <c:v>STAR+
PLUS
FUM
30 day</c:v>
                </c:pt>
                <c:pt idx="2">
                  <c:v>STAR
Kids
FUM
30 day</c:v>
                </c:pt>
                <c:pt idx="3">
                  <c:v>STAR
FUM
7 day</c:v>
                </c:pt>
                <c:pt idx="4">
                  <c:v>STAR
+PLUS
FUM
7 day</c:v>
                </c:pt>
                <c:pt idx="5">
                  <c:v>STAR
Kids
FUM
7 day</c:v>
                </c:pt>
                <c:pt idx="6">
                  <c:v>STAR
AMM
Acute</c:v>
                </c:pt>
                <c:pt idx="7">
                  <c:v>STAR+
PLUS
AMM
Acute</c:v>
                </c:pt>
                <c:pt idx="8">
                  <c:v>STAR
AMM
Cont</c:v>
                </c:pt>
                <c:pt idx="9">
                  <c:v>STAR
+PLUS
AMM
Cont</c:v>
                </c:pt>
                <c:pt idx="10">
                  <c:v>STAR
IET
Egmt</c:v>
                </c:pt>
                <c:pt idx="11">
                  <c:v>STAR
+PLUS
IET
Egmt</c:v>
                </c:pt>
                <c:pt idx="12">
                  <c:v>STAR
Kids
IET
Egmt</c:v>
                </c:pt>
                <c:pt idx="13">
                  <c:v>STAR
IET
Init</c:v>
                </c:pt>
                <c:pt idx="14">
                  <c:v>STAR+
PLUS
IET
Init</c:v>
                </c:pt>
                <c:pt idx="15">
                  <c:v>STAR
Kids
IET
Init</c:v>
                </c:pt>
              </c:strCache>
            </c:strRef>
          </c:cat>
          <c:val>
            <c:numRef>
              <c:f>'HEDIS Summary'!$M$18:$M$33</c:f>
              <c:numCache>
                <c:formatCode>0%</c:formatCode>
                <c:ptCount val="16"/>
                <c:pt idx="0">
                  <c:v>0.49270000000000003</c:v>
                </c:pt>
                <c:pt idx="1">
                  <c:v>0.4924</c:v>
                </c:pt>
                <c:pt idx="2">
                  <c:v>0.63329999999999997</c:v>
                </c:pt>
                <c:pt idx="3">
                  <c:v>0.32850000000000001</c:v>
                </c:pt>
                <c:pt idx="4">
                  <c:v>0.32850000000000001</c:v>
                </c:pt>
                <c:pt idx="5">
                  <c:v>0.4667</c:v>
                </c:pt>
                <c:pt idx="6">
                  <c:v>0.53410000000000002</c:v>
                </c:pt>
                <c:pt idx="7">
                  <c:v>0.65229999999999999</c:v>
                </c:pt>
                <c:pt idx="8">
                  <c:v>0.3367</c:v>
                </c:pt>
                <c:pt idx="9">
                  <c:v>0.48130000000000001</c:v>
                </c:pt>
                <c:pt idx="10">
                  <c:v>0.1265</c:v>
                </c:pt>
                <c:pt idx="11">
                  <c:v>4.2700000000000002E-2</c:v>
                </c:pt>
                <c:pt idx="12">
                  <c:v>6.1199999999999997E-2</c:v>
                </c:pt>
                <c:pt idx="13">
                  <c:v>0.37509999999999999</c:v>
                </c:pt>
                <c:pt idx="14">
                  <c:v>0.3453</c:v>
                </c:pt>
                <c:pt idx="15">
                  <c:v>0.36730000000000002</c:v>
                </c:pt>
              </c:numCache>
            </c:numRef>
          </c:val>
          <c:extLst>
            <c:ext xmlns:c16="http://schemas.microsoft.com/office/drawing/2014/chart" uri="{C3380CC4-5D6E-409C-BE32-E72D297353CC}">
              <c16:uniqueId val="{0000000E-10A0-4EB0-A2E0-02EEBC5147C4}"/>
            </c:ext>
          </c:extLst>
        </c:ser>
        <c:ser>
          <c:idx val="0"/>
          <c:order val="1"/>
          <c:tx>
            <c:v>2022</c:v>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'HEDIS Summary'!$J$18:$J$33</c:f>
              <c:strCache>
                <c:ptCount val="16"/>
                <c:pt idx="0">
                  <c:v>STAR
FUM
30 day</c:v>
                </c:pt>
                <c:pt idx="1">
                  <c:v>STAR+
PLUS
FUM
30 day</c:v>
                </c:pt>
                <c:pt idx="2">
                  <c:v>STAR
Kids
FUM
30 day</c:v>
                </c:pt>
                <c:pt idx="3">
                  <c:v>STAR
FUM
7 day</c:v>
                </c:pt>
                <c:pt idx="4">
                  <c:v>STAR
+PLUS
FUM
7 day</c:v>
                </c:pt>
                <c:pt idx="5">
                  <c:v>STAR
Kids
FUM
7 day</c:v>
                </c:pt>
                <c:pt idx="6">
                  <c:v>STAR
AMM
Acute</c:v>
                </c:pt>
                <c:pt idx="7">
                  <c:v>STAR+
PLUS
AMM
Acute</c:v>
                </c:pt>
                <c:pt idx="8">
                  <c:v>STAR
AMM
Cont</c:v>
                </c:pt>
                <c:pt idx="9">
                  <c:v>STAR
+PLUS
AMM
Cont</c:v>
                </c:pt>
                <c:pt idx="10">
                  <c:v>STAR
IET
Egmt</c:v>
                </c:pt>
                <c:pt idx="11">
                  <c:v>STAR
+PLUS
IET
Egmt</c:v>
                </c:pt>
                <c:pt idx="12">
                  <c:v>STAR
Kids
IET
Egmt</c:v>
                </c:pt>
                <c:pt idx="13">
                  <c:v>STAR
IET
Init</c:v>
                </c:pt>
                <c:pt idx="14">
                  <c:v>STAR+
PLUS
IET
Init</c:v>
                </c:pt>
                <c:pt idx="15">
                  <c:v>STAR
Kids
IET
Init</c:v>
                </c:pt>
              </c:strCache>
            </c:strRef>
          </c:cat>
          <c:val>
            <c:numRef>
              <c:f>'HEDIS Summary'!$G$18:$G$33</c:f>
              <c:numCache>
                <c:formatCode>0%</c:formatCode>
                <c:ptCount val="16"/>
                <c:pt idx="0">
                  <c:v>0.52869999999999995</c:v>
                </c:pt>
                <c:pt idx="1">
                  <c:v>0.45929999999999999</c:v>
                </c:pt>
                <c:pt idx="2">
                  <c:v>0.41670000000000001</c:v>
                </c:pt>
                <c:pt idx="3">
                  <c:v>0.37930000000000003</c:v>
                </c:pt>
                <c:pt idx="4">
                  <c:v>0.32590000000000002</c:v>
                </c:pt>
                <c:pt idx="5">
                  <c:v>0.30559999999999998</c:v>
                </c:pt>
                <c:pt idx="6">
                  <c:v>0.49759999999999999</c:v>
                </c:pt>
                <c:pt idx="7">
                  <c:v>0.6069</c:v>
                </c:pt>
                <c:pt idx="8">
                  <c:v>0.3105</c:v>
                </c:pt>
                <c:pt idx="9">
                  <c:v>0.4617</c:v>
                </c:pt>
                <c:pt idx="10">
                  <c:v>0.1173</c:v>
                </c:pt>
                <c:pt idx="11">
                  <c:v>4.6899999999999997E-2</c:v>
                </c:pt>
                <c:pt idx="12">
                  <c:v>0.1176</c:v>
                </c:pt>
                <c:pt idx="13">
                  <c:v>0.39</c:v>
                </c:pt>
                <c:pt idx="14">
                  <c:v>0.39839999999999998</c:v>
                </c:pt>
                <c:pt idx="15">
                  <c:v>0.43140000000000001</c:v>
                </c:pt>
              </c:numCache>
            </c:numRef>
          </c:val>
          <c:extLst>
            <c:ext xmlns:c16="http://schemas.microsoft.com/office/drawing/2014/chart" uri="{C3380CC4-5D6E-409C-BE32-E72D297353CC}">
              <c16:uniqueId val="{0000001D-10A0-4EB0-A2E0-02EEBC5147C4}"/>
            </c:ext>
          </c:extLst>
        </c:ser>
        <c:dLbls>
          <c:showLegendKey val="0"/>
          <c:showVal val="1"/>
          <c:showCatName val="0"/>
          <c:showSerName val="0"/>
          <c:showPercent val="0"/>
          <c:showBubbleSize val="0"/>
        </c:dLbls>
        <c:gapWidth val="50"/>
        <c:overlap val="-5"/>
        <c:axId val="1986004687"/>
        <c:axId val="1662102943"/>
      </c:barChart>
      <c:catAx>
        <c:axId val="1986004687"/>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662102943"/>
        <c:crosses val="autoZero"/>
        <c:auto val="1"/>
        <c:lblAlgn val="ctr"/>
        <c:lblOffset val="100"/>
        <c:noMultiLvlLbl val="0"/>
      </c:catAx>
      <c:valAx>
        <c:axId val="1662102943"/>
        <c:scaling>
          <c:orientation val="minMax"/>
        </c:scaling>
        <c:delete val="1"/>
        <c:axPos val="l"/>
        <c:numFmt formatCode="0%" sourceLinked="1"/>
        <c:majorTickMark val="none"/>
        <c:minorTickMark val="none"/>
        <c:tickLblPos val="nextTo"/>
        <c:crossAx val="198600468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Sheet2!$A$2</c:f>
              <c:strCache>
                <c:ptCount val="1"/>
                <c:pt idx="0">
                  <c:v>Providers that engage in HIE</c:v>
                </c:pt>
              </c:strCache>
            </c:strRef>
          </c:tx>
          <c:spPr>
            <a:solidFill>
              <a:schemeClr val="tx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Sheet2!$B$1:$E$1</c:f>
              <c:strCache>
                <c:ptCount val="4"/>
                <c:pt idx="0">
                  <c:v>CHIRP </c:v>
                </c:pt>
                <c:pt idx="1">
                  <c:v>TIPPS</c:v>
                </c:pt>
                <c:pt idx="2">
                  <c:v>RAPPS</c:v>
                </c:pt>
                <c:pt idx="3">
                  <c:v>DPP BHS</c:v>
                </c:pt>
              </c:strCache>
            </c:strRef>
          </c:cat>
          <c:val>
            <c:numRef>
              <c:f>Sheet2!$B$2:$E$2</c:f>
              <c:numCache>
                <c:formatCode>0%</c:formatCode>
                <c:ptCount val="4"/>
                <c:pt idx="0">
                  <c:v>0.79</c:v>
                </c:pt>
                <c:pt idx="1">
                  <c:v>0.85</c:v>
                </c:pt>
                <c:pt idx="2">
                  <c:v>0.67</c:v>
                </c:pt>
                <c:pt idx="3">
                  <c:v>0.51</c:v>
                </c:pt>
              </c:numCache>
            </c:numRef>
          </c:val>
          <c:extLst>
            <c:ext xmlns:c16="http://schemas.microsoft.com/office/drawing/2014/chart" uri="{C3380CC4-5D6E-409C-BE32-E72D297353CC}">
              <c16:uniqueId val="{00000000-9C9F-4D68-AEA3-AEB3B9C9C0B8}"/>
            </c:ext>
          </c:extLst>
        </c:ser>
        <c:ser>
          <c:idx val="1"/>
          <c:order val="1"/>
          <c:tx>
            <c:strRef>
              <c:f>Sheet2!$A$3</c:f>
              <c:strCache>
                <c:ptCount val="1"/>
                <c:pt idx="0">
                  <c:v>Providers Connected to HIETexas EDEN </c:v>
                </c:pt>
              </c:strCache>
            </c:strRef>
          </c:tx>
          <c:spPr>
            <a:solidFill>
              <a:schemeClr val="tx1">
                <a:lumMod val="40000"/>
                <a:lumOff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Sheet2!$B$1:$E$1</c:f>
              <c:strCache>
                <c:ptCount val="4"/>
                <c:pt idx="0">
                  <c:v>CHIRP </c:v>
                </c:pt>
                <c:pt idx="1">
                  <c:v>TIPPS</c:v>
                </c:pt>
                <c:pt idx="2">
                  <c:v>RAPPS</c:v>
                </c:pt>
                <c:pt idx="3">
                  <c:v>DPP BHS</c:v>
                </c:pt>
              </c:strCache>
            </c:strRef>
          </c:cat>
          <c:val>
            <c:numRef>
              <c:f>Sheet2!$B$3:$E$3</c:f>
              <c:numCache>
                <c:formatCode>0%</c:formatCode>
                <c:ptCount val="4"/>
                <c:pt idx="0">
                  <c:v>0.32</c:v>
                </c:pt>
                <c:pt idx="1">
                  <c:v>0.22</c:v>
                </c:pt>
                <c:pt idx="2">
                  <c:v>0.14000000000000001</c:v>
                </c:pt>
                <c:pt idx="3">
                  <c:v>0.03</c:v>
                </c:pt>
              </c:numCache>
            </c:numRef>
          </c:val>
          <c:extLst>
            <c:ext xmlns:c16="http://schemas.microsoft.com/office/drawing/2014/chart" uri="{C3380CC4-5D6E-409C-BE32-E72D297353CC}">
              <c16:uniqueId val="{00000001-9C9F-4D68-AEA3-AEB3B9C9C0B8}"/>
            </c:ext>
          </c:extLst>
        </c:ser>
        <c:dLbls>
          <c:showLegendKey val="0"/>
          <c:showVal val="0"/>
          <c:showCatName val="0"/>
          <c:showSerName val="0"/>
          <c:showPercent val="0"/>
          <c:showBubbleSize val="0"/>
        </c:dLbls>
        <c:gapWidth val="100"/>
        <c:overlap val="-5"/>
        <c:axId val="1703487135"/>
        <c:axId val="902406943"/>
      </c:barChart>
      <c:catAx>
        <c:axId val="17034871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en-US"/>
          </a:p>
        </c:txPr>
        <c:crossAx val="902406943"/>
        <c:crosses val="autoZero"/>
        <c:auto val="1"/>
        <c:lblAlgn val="ctr"/>
        <c:lblOffset val="100"/>
        <c:noMultiLvlLbl val="0"/>
      </c:catAx>
      <c:valAx>
        <c:axId val="902406943"/>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crossAx val="1703487135"/>
        <c:crosses val="autoZero"/>
        <c:crossBetween val="between"/>
        <c:majorUnit val="0.25"/>
      </c:valAx>
      <c:spPr>
        <a:noFill/>
        <a:ln>
          <a:noFill/>
        </a:ln>
        <a:effectLst/>
      </c:spPr>
    </c:plotArea>
    <c:legend>
      <c:legendPos val="b"/>
      <c:layout>
        <c:manualLayout>
          <c:xMode val="edge"/>
          <c:yMode val="edge"/>
          <c:x val="0.05"/>
          <c:y val="0.88848952400561909"/>
          <c:w val="0.9"/>
          <c:h val="0.11151047599438092"/>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[SFY24R1_Y3_Eval SM Analysis_C1R1B1-163.xlsx]Pivot Q1 All DPP!PivotTable1</c:name>
    <c:fmtId val="-1"/>
  </c:pivotSource>
  <c:chart>
    <c:autoTitleDeleted val="1"/>
    <c:pivotFmts>
      <c:pivotFmt>
        <c:idx val="0"/>
        <c:spPr>
          <a:solidFill>
            <a:schemeClr val="accent6"/>
          </a:solidFill>
          <a:ln>
            <a:noFill/>
          </a:ln>
          <a:effectLst/>
        </c:spPr>
        <c:marker>
          <c:symbol val="none"/>
        </c:marker>
        <c:dLbl>
          <c:idx val="0"/>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4"/>
          </a:solidFill>
          <a:ln>
            <a:noFill/>
          </a:ln>
          <a:effectLst/>
        </c:spPr>
        <c:marker>
          <c:symbol val="none"/>
        </c:marker>
        <c:dLbl>
          <c:idx val="0"/>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dLbl>
          <c:idx val="0"/>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mn-lt"/>
                  <a:ea typeface="+mn-ea"/>
                  <a:cs typeface="+mn-cs"/>
                </a:defRPr>
              </a:pPr>
              <a:endParaRPr lang="en-US"/>
            </a:p>
          </c:txPr>
          <c:dLblPos val="ct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6"/>
          </a:solidFill>
          <a:ln>
            <a:noFill/>
          </a:ln>
          <a:effectLst/>
        </c:spPr>
        <c:marker>
          <c:symbol val="none"/>
        </c:marker>
        <c:dLbl>
          <c:idx val="0"/>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4"/>
          </a:solidFill>
          <a:ln>
            <a:noFill/>
          </a:ln>
          <a:effectLst/>
        </c:spPr>
        <c:marker>
          <c:symbol val="none"/>
        </c:marker>
        <c:dLbl>
          <c:idx val="0"/>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3"/>
          </a:solidFill>
          <a:ln>
            <a:noFill/>
          </a:ln>
          <a:effectLst/>
        </c:spPr>
        <c:dLbl>
          <c:idx val="0"/>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6"/>
          </a:solidFill>
          <a:ln>
            <a:noFill/>
          </a:ln>
          <a:effectLst/>
        </c:spPr>
        <c:marker>
          <c:symbol val="none"/>
        </c:marker>
        <c:dLbl>
          <c:idx val="0"/>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4"/>
          </a:solidFill>
          <a:ln>
            <a:noFill/>
          </a:ln>
          <a:effectLst/>
        </c:spPr>
        <c:marker>
          <c:symbol val="none"/>
        </c:marker>
        <c:dLbl>
          <c:idx val="0"/>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3"/>
          </a:solidFill>
          <a:ln>
            <a:noFill/>
          </a:ln>
          <a:effectLst/>
        </c:spPr>
        <c:dLbl>
          <c:idx val="0"/>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13787226924656912"/>
          <c:y val="0"/>
          <c:w val="0.86212773075343085"/>
          <c:h val="0.77636074962636958"/>
        </c:manualLayout>
      </c:layout>
      <c:barChart>
        <c:barDir val="bar"/>
        <c:grouping val="percentStacked"/>
        <c:varyColors val="0"/>
        <c:ser>
          <c:idx val="0"/>
          <c:order val="0"/>
          <c:tx>
            <c:strRef>
              <c:f>'Pivot Q1 All DPP'!$B$4:$B$5</c:f>
              <c:strCache>
                <c:ptCount val="1"/>
                <c:pt idx="0">
                  <c:v>Implemented</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'Pivot Q1 All DPP'!$A$6:$A$9</c:f>
              <c:strCache>
                <c:ptCount val="3"/>
                <c:pt idx="0">
                  <c:v>CHIRP</c:v>
                </c:pt>
                <c:pt idx="1">
                  <c:v>DPP BHS</c:v>
                </c:pt>
                <c:pt idx="2">
                  <c:v>RAPPS</c:v>
                </c:pt>
              </c:strCache>
            </c:strRef>
          </c:cat>
          <c:val>
            <c:numRef>
              <c:f>'Pivot Q1 All DPP'!$B$6:$B$9</c:f>
              <c:numCache>
                <c:formatCode>0%</c:formatCode>
                <c:ptCount val="3"/>
                <c:pt idx="0">
                  <c:v>0.60102301790281332</c:v>
                </c:pt>
                <c:pt idx="1">
                  <c:v>0.46153846153846156</c:v>
                </c:pt>
                <c:pt idx="2">
                  <c:v>0.48618784530386738</c:v>
                </c:pt>
              </c:numCache>
            </c:numRef>
          </c:val>
          <c:extLst>
            <c:ext xmlns:c16="http://schemas.microsoft.com/office/drawing/2014/chart" uri="{C3380CC4-5D6E-409C-BE32-E72D297353CC}">
              <c16:uniqueId val="{00000000-4B48-4399-8802-51BC9F9F3F79}"/>
            </c:ext>
          </c:extLst>
        </c:ser>
        <c:ser>
          <c:idx val="1"/>
          <c:order val="1"/>
          <c:tx>
            <c:strRef>
              <c:f>'Pivot Q1 All DPP'!$C$4:$C$5</c:f>
              <c:strCache>
                <c:ptCount val="1"/>
                <c:pt idx="0">
                  <c:v>No, but planning to by Aug 31, 2024</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'Pivot Q1 All DPP'!$A$6:$A$9</c:f>
              <c:strCache>
                <c:ptCount val="3"/>
                <c:pt idx="0">
                  <c:v>CHIRP</c:v>
                </c:pt>
                <c:pt idx="1">
                  <c:v>DPP BHS</c:v>
                </c:pt>
                <c:pt idx="2">
                  <c:v>RAPPS</c:v>
                </c:pt>
              </c:strCache>
            </c:strRef>
          </c:cat>
          <c:val>
            <c:numRef>
              <c:f>'Pivot Q1 All DPP'!$C$6:$C$9</c:f>
              <c:numCache>
                <c:formatCode>0%</c:formatCode>
                <c:ptCount val="3"/>
                <c:pt idx="0">
                  <c:v>0.34015345268542202</c:v>
                </c:pt>
                <c:pt idx="1">
                  <c:v>0.53846153846153844</c:v>
                </c:pt>
                <c:pt idx="2">
                  <c:v>0.32596685082872928</c:v>
                </c:pt>
              </c:numCache>
            </c:numRef>
          </c:val>
          <c:extLst>
            <c:ext xmlns:c16="http://schemas.microsoft.com/office/drawing/2014/chart" uri="{C3380CC4-5D6E-409C-BE32-E72D297353CC}">
              <c16:uniqueId val="{00000001-4B48-4399-8802-51BC9F9F3F79}"/>
            </c:ext>
          </c:extLst>
        </c:ser>
        <c:ser>
          <c:idx val="2"/>
          <c:order val="2"/>
          <c:tx>
            <c:strRef>
              <c:f>'Pivot Q1 All DPP'!$D$4:$D$5</c:f>
              <c:strCache>
                <c:ptCount val="1"/>
                <c:pt idx="0">
                  <c:v>No, and not planning to by Aug 31, 2024</c:v>
                </c:pt>
              </c:strCache>
            </c:strRef>
          </c:tx>
          <c:spPr>
            <a:solidFill>
              <a:schemeClr val="accent2"/>
            </a:solidFill>
            <a:ln>
              <a:noFill/>
            </a:ln>
            <a:effectLst/>
          </c:spPr>
          <c:invertIfNegative val="0"/>
          <c:dPt>
            <c:idx val="1"/>
            <c:invertIfNegative val="0"/>
            <c:bubble3D val="0"/>
            <c:spPr>
              <a:solidFill>
                <a:schemeClr val="accent2"/>
              </a:solidFill>
              <a:ln>
                <a:noFill/>
              </a:ln>
              <a:effectLst/>
            </c:spPr>
            <c:extLst>
              <c:ext xmlns:c16="http://schemas.microsoft.com/office/drawing/2014/chart" uri="{C3380CC4-5D6E-409C-BE32-E72D297353CC}">
                <c16:uniqueId val="{00000003-4B48-4399-8802-51BC9F9F3F79}"/>
              </c:ext>
            </c:extLst>
          </c:dPt>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257-4E2E-9137-8070430B5DBE}"/>
                </c:ext>
              </c:extLst>
            </c:dLbl>
            <c:dLbl>
              <c:idx val="1"/>
              <c:delete val="1"/>
              <c:extLst>
                <c:ext xmlns:c15="http://schemas.microsoft.com/office/drawing/2012/chart" uri="{CE6537A1-D6FC-4f65-9D91-7224C49458BB}"/>
                <c:ext xmlns:c16="http://schemas.microsoft.com/office/drawing/2014/chart" uri="{C3380CC4-5D6E-409C-BE32-E72D297353CC}">
                  <c16:uniqueId val="{00000003-4B48-4399-8802-51BC9F9F3F79}"/>
                </c:ext>
              </c:extLst>
            </c:dLbl>
            <c:spPr>
              <a:noFill/>
              <a:ln>
                <a:noFill/>
              </a:ln>
              <a:effectLst/>
            </c:spPr>
            <c:txPr>
              <a:bodyPr rot="0" spcFirstLastPara="1" vertOverflow="ellipsis" vert="horz" wrap="square" anchor="ctr" anchorCtr="1"/>
              <a:lstStyle/>
              <a:p>
                <a:pPr>
                  <a:defRPr sz="1200" b="0" i="0" u="none" strike="noStrike" kern="1200" baseline="0">
                    <a:solidFill>
                      <a:schemeClr val="bg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'Pivot Q1 All DPP'!$A$6:$A$9</c:f>
              <c:strCache>
                <c:ptCount val="3"/>
                <c:pt idx="0">
                  <c:v>CHIRP</c:v>
                </c:pt>
                <c:pt idx="1">
                  <c:v>DPP BHS</c:v>
                </c:pt>
                <c:pt idx="2">
                  <c:v>RAPPS</c:v>
                </c:pt>
              </c:strCache>
            </c:strRef>
          </c:cat>
          <c:val>
            <c:numRef>
              <c:f>'Pivot Q1 All DPP'!$D$6:$D$9</c:f>
              <c:numCache>
                <c:formatCode>0%</c:formatCode>
                <c:ptCount val="3"/>
                <c:pt idx="0">
                  <c:v>5.8823529411764705E-2</c:v>
                </c:pt>
                <c:pt idx="1">
                  <c:v>0</c:v>
                </c:pt>
                <c:pt idx="2">
                  <c:v>0.18784530386740331</c:v>
                </c:pt>
              </c:numCache>
            </c:numRef>
          </c:val>
          <c:extLst>
            <c:ext xmlns:c16="http://schemas.microsoft.com/office/drawing/2014/chart" uri="{C3380CC4-5D6E-409C-BE32-E72D297353CC}">
              <c16:uniqueId val="{00000004-4B48-4399-8802-51BC9F9F3F79}"/>
            </c:ext>
          </c:extLst>
        </c:ser>
        <c:dLbls>
          <c:dLblPos val="ctr"/>
          <c:showLegendKey val="0"/>
          <c:showVal val="1"/>
          <c:showCatName val="0"/>
          <c:showSerName val="0"/>
          <c:showPercent val="0"/>
          <c:showBubbleSize val="0"/>
        </c:dLbls>
        <c:gapWidth val="50"/>
        <c:overlap val="100"/>
        <c:axId val="568506144"/>
        <c:axId val="699983872"/>
      </c:barChart>
      <c:catAx>
        <c:axId val="568506144"/>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crossAx val="699983872"/>
        <c:crosses val="autoZero"/>
        <c:auto val="1"/>
        <c:lblAlgn val="ctr"/>
        <c:lblOffset val="100"/>
        <c:noMultiLvlLbl val="0"/>
      </c:catAx>
      <c:valAx>
        <c:axId val="699983872"/>
        <c:scaling>
          <c:orientation val="minMax"/>
          <c:max val="1.1000000000000001"/>
          <c:min val="0"/>
        </c:scaling>
        <c:delete val="1"/>
        <c:axPos val="b"/>
        <c:majorGridlines>
          <c:spPr>
            <a:ln w="9525" cap="flat" cmpd="sng" algn="ctr">
              <a:solidFill>
                <a:schemeClr val="tx1">
                  <a:lumMod val="15000"/>
                  <a:lumOff val="85000"/>
                </a:schemeClr>
              </a:solidFill>
              <a:round/>
            </a:ln>
            <a:effectLst/>
          </c:spPr>
        </c:majorGridlines>
        <c:numFmt formatCode="0%" sourceLinked="1"/>
        <c:majorTickMark val="out"/>
        <c:minorTickMark val="none"/>
        <c:tickLblPos val="nextTo"/>
        <c:crossAx val="568506144"/>
        <c:crosses val="autoZero"/>
        <c:crossBetween val="between"/>
        <c:majorUnit val="0.25"/>
      </c:valAx>
      <c:spPr>
        <a:noFill/>
        <a:ln>
          <a:noFill/>
        </a:ln>
        <a:effectLst/>
      </c:spPr>
    </c:plotArea>
    <c:legend>
      <c:legendPos val="r"/>
      <c:layout>
        <c:manualLayout>
          <c:xMode val="edge"/>
          <c:yMode val="edge"/>
          <c:x val="4.5939384099949084E-2"/>
          <c:y val="0.80720775287704416"/>
          <c:w val="0.90171411328972806"/>
          <c:h val="0.1894669525766372"/>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000"/>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1487029456745326E-2"/>
          <c:y val="5.8228623965675762E-2"/>
          <c:w val="0.93056367729667622"/>
          <c:h val="0.75732828830046262"/>
        </c:manualLayout>
      </c:layout>
      <c:barChart>
        <c:barDir val="col"/>
        <c:grouping val="clustered"/>
        <c:varyColors val="0"/>
        <c:ser>
          <c:idx val="1"/>
          <c:order val="0"/>
          <c:tx>
            <c:v>2021</c:v>
          </c:tx>
          <c:spPr>
            <a:solidFill>
              <a:srgbClr val="B18124"/>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Lit>
              <c:ptCount val="9"/>
              <c:pt idx="0">
                <c:v>DPP BHS
STAR</c:v>
              </c:pt>
              <c:pt idx="1">
                <c:v>RAPPS
STAR</c:v>
              </c:pt>
              <c:pt idx="2">
                <c:v>TIPPS
STAR</c:v>
              </c:pt>
              <c:pt idx="3">
                <c:v>DPP BHS
STAR+
PLUS</c:v>
              </c:pt>
              <c:pt idx="4">
                <c:v>RAPPS
STAR+
PLUS</c:v>
              </c:pt>
              <c:pt idx="5">
                <c:v>TIPPS
STAR+
PLUS</c:v>
              </c:pt>
              <c:pt idx="6">
                <c:v>DPP BHS
STAR
Kids</c:v>
              </c:pt>
              <c:pt idx="7">
                <c:v>RAPPS
STAR
Kids</c:v>
              </c:pt>
              <c:pt idx="8">
                <c:v>TIPPS
STAR
Kids</c:v>
              </c:pt>
              <c:extLst>
                <c:ext xmlns:c15="http://schemas.microsoft.com/office/drawing/2012/chart" uri="{02D57815-91ED-43cb-92C2-25804820EDAC}">
                  <c15:autoCat val="1"/>
                </c:ext>
              </c:extLst>
            </c:strLit>
          </c:cat>
          <c:val>
            <c:numRef>
              <c:f>('PPA PPV Summary'!$L$14:$L$16,'PPA PPV Summary'!$L$18:$L$20,'PPA PPV Summary'!$L$22:$L$24)</c:f>
              <c:numCache>
                <c:formatCode>#,##0.00</c:formatCode>
                <c:ptCount val="9"/>
                <c:pt idx="0">
                  <c:v>2.63</c:v>
                </c:pt>
                <c:pt idx="1">
                  <c:v>1.1499999999999999</c:v>
                </c:pt>
                <c:pt idx="2">
                  <c:v>1.37</c:v>
                </c:pt>
                <c:pt idx="3">
                  <c:v>0.9</c:v>
                </c:pt>
                <c:pt idx="4">
                  <c:v>1.41</c:v>
                </c:pt>
                <c:pt idx="5">
                  <c:v>1.02</c:v>
                </c:pt>
                <c:pt idx="6">
                  <c:v>1.95</c:v>
                </c:pt>
                <c:pt idx="7">
                  <c:v>0.81</c:v>
                </c:pt>
                <c:pt idx="8">
                  <c:v>1.0900000000000001</c:v>
                </c:pt>
              </c:numCache>
              <c:extLst/>
            </c:numRef>
          </c:val>
          <c:extLst>
            <c:ext xmlns:c16="http://schemas.microsoft.com/office/drawing/2014/chart" uri="{C3380CC4-5D6E-409C-BE32-E72D297353CC}">
              <c16:uniqueId val="{00000006-AB8A-4C6B-9019-9BBDEE12BFC7}"/>
            </c:ext>
          </c:extLst>
        </c:ser>
        <c:ser>
          <c:idx val="0"/>
          <c:order val="1"/>
          <c:tx>
            <c:v>2022</c:v>
          </c:tx>
          <c:spPr>
            <a:solidFill>
              <a:srgbClr val="002060"/>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('PPA PPV Summary'!$J$14:$J$16,'PPA PPV Summary'!$J$18:$J$20,'PPA PPV Summary'!$J$22:$J$24)</c:f>
              <c:strCache>
                <c:ptCount val="9"/>
                <c:pt idx="0">
                  <c:v>DPP BHS
STAR</c:v>
                </c:pt>
                <c:pt idx="1">
                  <c:v>RAPPS
STAR</c:v>
                </c:pt>
                <c:pt idx="2">
                  <c:v>TIPPS
STAR</c:v>
                </c:pt>
                <c:pt idx="3">
                  <c:v>DPP BHS
STAR+
PLUS</c:v>
                </c:pt>
                <c:pt idx="4">
                  <c:v>RAPPS
STAR+
PLUS</c:v>
                </c:pt>
                <c:pt idx="5">
                  <c:v>TIPPS
STAR+
PLUS</c:v>
                </c:pt>
                <c:pt idx="6">
                  <c:v>DPP BHS
STAR
Kids</c:v>
                </c:pt>
                <c:pt idx="7">
                  <c:v>RAPPS
STAR
Kids</c:v>
                </c:pt>
                <c:pt idx="8">
                  <c:v>TIPPS
STAR
Kids</c:v>
                </c:pt>
              </c:strCache>
              <c:extLst/>
            </c:strRef>
          </c:cat>
          <c:val>
            <c:numRef>
              <c:f>('PPA PPV Summary'!$H$14:$H$16,'PPA PPV Summary'!$H$18:$H$20,'PPA PPV Summary'!$H$22:$H$24)</c:f>
              <c:numCache>
                <c:formatCode>#,##0.00</c:formatCode>
                <c:ptCount val="9"/>
                <c:pt idx="0">
                  <c:v>2.2280000000000002</c:v>
                </c:pt>
                <c:pt idx="1">
                  <c:v>1.2213000000000001</c:v>
                </c:pt>
                <c:pt idx="2">
                  <c:v>1.3373999999999999</c:v>
                </c:pt>
                <c:pt idx="3">
                  <c:v>0.86380000000000001</c:v>
                </c:pt>
                <c:pt idx="4">
                  <c:v>1.1326000000000001</c:v>
                </c:pt>
                <c:pt idx="5">
                  <c:v>1.0127999999999999</c:v>
                </c:pt>
                <c:pt idx="6">
                  <c:v>2.0030000000000001</c:v>
                </c:pt>
                <c:pt idx="7">
                  <c:v>1.1872</c:v>
                </c:pt>
                <c:pt idx="8">
                  <c:v>1.1257999999999999</c:v>
                </c:pt>
              </c:numCache>
              <c:extLst/>
            </c:numRef>
          </c:val>
          <c:extLst>
            <c:ext xmlns:c16="http://schemas.microsoft.com/office/drawing/2014/chart" uri="{C3380CC4-5D6E-409C-BE32-E72D297353CC}">
              <c16:uniqueId val="{0000000C-AB8A-4C6B-9019-9BBDEE12BFC7}"/>
            </c:ext>
          </c:extLst>
        </c:ser>
        <c:dLbls>
          <c:dLblPos val="outEnd"/>
          <c:showLegendKey val="0"/>
          <c:showVal val="1"/>
          <c:showCatName val="0"/>
          <c:showSerName val="0"/>
          <c:showPercent val="0"/>
          <c:showBubbleSize val="0"/>
        </c:dLbls>
        <c:gapWidth val="50"/>
        <c:overlap val="-5"/>
        <c:axId val="1976688447"/>
        <c:axId val="1948517439"/>
      </c:barChart>
      <c:catAx>
        <c:axId val="19766884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948517439"/>
        <c:crosses val="autoZero"/>
        <c:auto val="1"/>
        <c:lblAlgn val="ctr"/>
        <c:lblOffset val="100"/>
        <c:noMultiLvlLbl val="0"/>
      </c:catAx>
      <c:valAx>
        <c:axId val="194851743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976688447"/>
        <c:crosses val="autoZero"/>
        <c:crossBetween val="between"/>
        <c:maj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v>2021</c:v>
          </c:tx>
          <c:spPr>
            <a:solidFill>
              <a:srgbClr val="B18124"/>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Lit>
              <c:ptCount val="9"/>
              <c:pt idx="0">
                <c:v>DPP BHS
STAR</c:v>
              </c:pt>
              <c:pt idx="1">
                <c:v>RAPPS
STAR</c:v>
              </c:pt>
              <c:pt idx="2">
                <c:v>TIPPS
STAR</c:v>
              </c:pt>
              <c:pt idx="3">
                <c:v>DPP BHS
STAR+
PLUS</c:v>
              </c:pt>
              <c:pt idx="4">
                <c:v>RAPPS
STAR+
PLUS</c:v>
              </c:pt>
              <c:pt idx="5">
                <c:v>TIPPS
STAR+
PLUS</c:v>
              </c:pt>
              <c:pt idx="6">
                <c:v>DPP BHS
STAR
Kids</c:v>
              </c:pt>
              <c:pt idx="7">
                <c:v>RAPPS
STAR
Kids</c:v>
              </c:pt>
              <c:pt idx="8">
                <c:v>TIPPS
STAR
Kids</c:v>
              </c:pt>
              <c:extLst>
                <c:ext xmlns:c15="http://schemas.microsoft.com/office/drawing/2012/chart" uri="{02D57815-91ED-43cb-92C2-25804820EDAC}">
                  <c15:autoCat val="1"/>
                </c:ext>
              </c:extLst>
            </c:strLit>
          </c:cat>
          <c:val>
            <c:numRef>
              <c:f>('PPA PPV Summary'!$L$2:$L$4,'PPA PPV Summary'!$L$6:$L$8,'PPA PPV Summary'!$L$10:$L$12)</c:f>
              <c:numCache>
                <c:formatCode>#,##0.00</c:formatCode>
                <c:ptCount val="9"/>
                <c:pt idx="0">
                  <c:v>1.46</c:v>
                </c:pt>
                <c:pt idx="1">
                  <c:v>1.39</c:v>
                </c:pt>
                <c:pt idx="2">
                  <c:v>1.28</c:v>
                </c:pt>
                <c:pt idx="3">
                  <c:v>1.4</c:v>
                </c:pt>
                <c:pt idx="4">
                  <c:v>1.24</c:v>
                </c:pt>
                <c:pt idx="5">
                  <c:v>1.17</c:v>
                </c:pt>
                <c:pt idx="6">
                  <c:v>1.32</c:v>
                </c:pt>
                <c:pt idx="7">
                  <c:v>1.54</c:v>
                </c:pt>
                <c:pt idx="8">
                  <c:v>1.17</c:v>
                </c:pt>
              </c:numCache>
              <c:extLst/>
            </c:numRef>
          </c:val>
          <c:extLst>
            <c:ext xmlns:c16="http://schemas.microsoft.com/office/drawing/2014/chart" uri="{C3380CC4-5D6E-409C-BE32-E72D297353CC}">
              <c16:uniqueId val="{00000000-4C68-4CC0-AA4C-A5F4E3E0A2C4}"/>
            </c:ext>
          </c:extLst>
        </c:ser>
        <c:ser>
          <c:idx val="0"/>
          <c:order val="1"/>
          <c:tx>
            <c:v>2022</c:v>
          </c:tx>
          <c:spPr>
            <a:solidFill>
              <a:srgbClr val="002060"/>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('PPA PPV Summary'!$J$2:$J$4,'PPA PPV Summary'!$J$6:$J$8,'PPA PPV Summary'!$J$10:$J$12)</c:f>
              <c:strCache>
                <c:ptCount val="9"/>
                <c:pt idx="0">
                  <c:v>DPP BHS
STAR</c:v>
                </c:pt>
                <c:pt idx="1">
                  <c:v>RAPPS
STAR</c:v>
                </c:pt>
                <c:pt idx="2">
                  <c:v>TIPPS
STAR</c:v>
                </c:pt>
                <c:pt idx="3">
                  <c:v>DPP BHS
STAR+
PLUS</c:v>
                </c:pt>
                <c:pt idx="4">
                  <c:v>RAPPS
STAR+
PLUS</c:v>
                </c:pt>
                <c:pt idx="5">
                  <c:v>TIPPS
STAR+
PLUS</c:v>
                </c:pt>
                <c:pt idx="6">
                  <c:v>DPP BHS
STAR
Kids</c:v>
                </c:pt>
                <c:pt idx="7">
                  <c:v>RAPPS
STAR
Kids</c:v>
                </c:pt>
                <c:pt idx="8">
                  <c:v>TIPPS
STAR
Kids</c:v>
                </c:pt>
              </c:strCache>
              <c:extLst/>
            </c:strRef>
          </c:cat>
          <c:val>
            <c:numRef>
              <c:f>('PPA PPV Summary'!$H$2:$H$4,'PPA PPV Summary'!$H$6:$H$8,'PPA PPV Summary'!$H$10:$H$12)</c:f>
              <c:numCache>
                <c:formatCode>#,##0.00</c:formatCode>
                <c:ptCount val="9"/>
                <c:pt idx="0">
                  <c:v>1.3589</c:v>
                </c:pt>
                <c:pt idx="1">
                  <c:v>1.3714999999999999</c:v>
                </c:pt>
                <c:pt idx="2">
                  <c:v>1.2411000000000001</c:v>
                </c:pt>
                <c:pt idx="3">
                  <c:v>1.3862000000000001</c:v>
                </c:pt>
                <c:pt idx="4">
                  <c:v>1.2265999999999999</c:v>
                </c:pt>
                <c:pt idx="5">
                  <c:v>1.1727000000000001</c:v>
                </c:pt>
                <c:pt idx="6">
                  <c:v>1.2404999999999999</c:v>
                </c:pt>
                <c:pt idx="7">
                  <c:v>1.4758</c:v>
                </c:pt>
                <c:pt idx="8">
                  <c:v>1.1505000000000001</c:v>
                </c:pt>
              </c:numCache>
              <c:extLst/>
            </c:numRef>
          </c:val>
          <c:extLst>
            <c:ext xmlns:c16="http://schemas.microsoft.com/office/drawing/2014/chart" uri="{C3380CC4-5D6E-409C-BE32-E72D297353CC}">
              <c16:uniqueId val="{00000001-4C68-4CC0-AA4C-A5F4E3E0A2C4}"/>
            </c:ext>
          </c:extLst>
        </c:ser>
        <c:dLbls>
          <c:dLblPos val="outEnd"/>
          <c:showLegendKey val="0"/>
          <c:showVal val="1"/>
          <c:showCatName val="0"/>
          <c:showSerName val="0"/>
          <c:showPercent val="0"/>
          <c:showBubbleSize val="0"/>
        </c:dLbls>
        <c:gapWidth val="50"/>
        <c:overlap val="-5"/>
        <c:axId val="1949212223"/>
        <c:axId val="1215018511"/>
      </c:barChart>
      <c:catAx>
        <c:axId val="19492122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215018511"/>
        <c:crosses val="autoZero"/>
        <c:auto val="1"/>
        <c:lblAlgn val="ctr"/>
        <c:lblOffset val="100"/>
        <c:noMultiLvlLbl val="0"/>
      </c:catAx>
      <c:valAx>
        <c:axId val="121501851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crossAx val="1949212223"/>
        <c:crosses val="autoZero"/>
        <c:crossBetween val="between"/>
        <c:majorUnit val="1"/>
      </c:valAx>
      <c:spPr>
        <a:noFill/>
        <a:ln w="25400">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v>2021</c:v>
          </c:tx>
          <c:spPr>
            <a:solidFill>
              <a:srgbClr val="B18124"/>
            </a:solidFill>
            <a:ln>
              <a:noFill/>
            </a:ln>
            <a:effectLst/>
          </c:spPr>
          <c:invertIfNegative val="0"/>
          <c:dLbls>
            <c:spPr>
              <a:noFill/>
              <a:ln>
                <a:noFill/>
              </a:ln>
              <a:effectLst/>
            </c:spPr>
            <c:txPr>
              <a:bodyPr rot="0" spcFirstLastPara="1" vertOverflow="ellipsis" vert="horz" wrap="square" lIns="38100" tIns="19050" rIns="38100" bIns="19050" anchor="ctr" anchorCtr="0">
                <a:spAutoFit/>
              </a:bodyPr>
              <a:lstStyle/>
              <a:p>
                <a:pPr algn="l">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'HEDIS Summary'!$J$34:$J$49</c:f>
              <c:strCache>
                <c:ptCount val="16"/>
                <c:pt idx="0">
                  <c:v>STAR
FUM
30 day</c:v>
                </c:pt>
                <c:pt idx="1">
                  <c:v>STAR+
PLUS
FUM
30 day</c:v>
                </c:pt>
                <c:pt idx="2">
                  <c:v>STAR
Kids
FUM
30 day</c:v>
                </c:pt>
                <c:pt idx="3">
                  <c:v>STAR
FUM
7 day</c:v>
                </c:pt>
                <c:pt idx="4">
                  <c:v>STAR+
PLUS
FUM
7 day</c:v>
                </c:pt>
                <c:pt idx="5">
                  <c:v>STAR
Kids
FUM
7 day</c:v>
                </c:pt>
                <c:pt idx="6">
                  <c:v>STAR
AMM
Acute</c:v>
                </c:pt>
                <c:pt idx="7">
                  <c:v>STAR+
PLUS
AMM
Acute</c:v>
                </c:pt>
                <c:pt idx="8">
                  <c:v>STAR
AMM
Cont</c:v>
                </c:pt>
                <c:pt idx="9">
                  <c:v>STAR+
PLUS
AMM
Cont</c:v>
                </c:pt>
                <c:pt idx="10">
                  <c:v>STAR
IET
Egmt</c:v>
                </c:pt>
                <c:pt idx="11">
                  <c:v>STAR+
PLUS
IET
Egmt</c:v>
                </c:pt>
                <c:pt idx="12">
                  <c:v>STAR
Kids
IET
Egmt</c:v>
                </c:pt>
                <c:pt idx="13">
                  <c:v>STAR
IET
Init</c:v>
                </c:pt>
                <c:pt idx="14">
                  <c:v>STAR+
PLUS
IET
Init</c:v>
                </c:pt>
                <c:pt idx="15">
                  <c:v>STAR
Kids
IET
Init</c:v>
                </c:pt>
              </c:strCache>
            </c:strRef>
          </c:cat>
          <c:val>
            <c:numRef>
              <c:f>'HEDIS Summary'!$L$34:$L$49</c:f>
              <c:numCache>
                <c:formatCode>0%</c:formatCode>
                <c:ptCount val="16"/>
                <c:pt idx="0">
                  <c:v>0.27</c:v>
                </c:pt>
                <c:pt idx="1">
                  <c:v>0.09</c:v>
                </c:pt>
                <c:pt idx="2">
                  <c:v>0.16</c:v>
                </c:pt>
                <c:pt idx="3">
                  <c:v>0.31</c:v>
                </c:pt>
                <c:pt idx="4">
                  <c:v>7.0000000000000007E-2</c:v>
                </c:pt>
                <c:pt idx="5">
                  <c:v>0.23</c:v>
                </c:pt>
                <c:pt idx="6">
                  <c:v>0.05</c:v>
                </c:pt>
                <c:pt idx="7">
                  <c:v>0.05</c:v>
                </c:pt>
                <c:pt idx="8">
                  <c:v>0.14000000000000001</c:v>
                </c:pt>
                <c:pt idx="9">
                  <c:v>0.08</c:v>
                </c:pt>
                <c:pt idx="10">
                  <c:v>-0.03</c:v>
                </c:pt>
                <c:pt idx="11">
                  <c:v>-0.01</c:v>
                </c:pt>
                <c:pt idx="12">
                  <c:v>-0.28000000000000003</c:v>
                </c:pt>
                <c:pt idx="13">
                  <c:v>0.02</c:v>
                </c:pt>
                <c:pt idx="14">
                  <c:v>-0.03</c:v>
                </c:pt>
                <c:pt idx="15">
                  <c:v>0</c:v>
                </c:pt>
              </c:numCache>
            </c:numRef>
          </c:val>
          <c:extLst>
            <c:ext xmlns:c16="http://schemas.microsoft.com/office/drawing/2014/chart" uri="{C3380CC4-5D6E-409C-BE32-E72D297353CC}">
              <c16:uniqueId val="{0000000F-7C5D-4826-81EF-323CCF7FE9F8}"/>
            </c:ext>
          </c:extLst>
        </c:ser>
        <c:ser>
          <c:idx val="0"/>
          <c:order val="1"/>
          <c:tx>
            <c:v>2022</c:v>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'HEDIS Summary'!$J$34:$J$49</c:f>
              <c:strCache>
                <c:ptCount val="16"/>
                <c:pt idx="0">
                  <c:v>STAR
FUM
30 day</c:v>
                </c:pt>
                <c:pt idx="1">
                  <c:v>STAR+
PLUS
FUM
30 day</c:v>
                </c:pt>
                <c:pt idx="2">
                  <c:v>STAR
Kids
FUM
30 day</c:v>
                </c:pt>
                <c:pt idx="3">
                  <c:v>STAR
FUM
7 day</c:v>
                </c:pt>
                <c:pt idx="4">
                  <c:v>STAR+
PLUS
FUM
7 day</c:v>
                </c:pt>
                <c:pt idx="5">
                  <c:v>STAR
Kids
FUM
7 day</c:v>
                </c:pt>
                <c:pt idx="6">
                  <c:v>STAR
AMM
Acute</c:v>
                </c:pt>
                <c:pt idx="7">
                  <c:v>STAR+
PLUS
AMM
Acute</c:v>
                </c:pt>
                <c:pt idx="8">
                  <c:v>STAR
AMM
Cont</c:v>
                </c:pt>
                <c:pt idx="9">
                  <c:v>STAR+
PLUS
AMM
Cont</c:v>
                </c:pt>
                <c:pt idx="10">
                  <c:v>STAR
IET
Egmt</c:v>
                </c:pt>
                <c:pt idx="11">
                  <c:v>STAR+
PLUS
IET
Egmt</c:v>
                </c:pt>
                <c:pt idx="12">
                  <c:v>STAR
Kids
IET
Egmt</c:v>
                </c:pt>
                <c:pt idx="13">
                  <c:v>STAR
IET
Init</c:v>
                </c:pt>
                <c:pt idx="14">
                  <c:v>STAR+
PLUS
IET
Init</c:v>
                </c:pt>
                <c:pt idx="15">
                  <c:v>STAR
Kids
IET
Init</c:v>
                </c:pt>
              </c:strCache>
            </c:strRef>
          </c:cat>
          <c:val>
            <c:numRef>
              <c:f>'HEDIS Summary'!$K$34:$K$49</c:f>
              <c:numCache>
                <c:formatCode>0%</c:formatCode>
                <c:ptCount val="16"/>
                <c:pt idx="0">
                  <c:v>0.29228062458764015</c:v>
                </c:pt>
                <c:pt idx="1">
                  <c:v>0.118777292576419</c:v>
                </c:pt>
                <c:pt idx="2">
                  <c:v>0.19795702712222618</c:v>
                </c:pt>
                <c:pt idx="3">
                  <c:v>0.31486146095717893</c:v>
                </c:pt>
                <c:pt idx="4">
                  <c:v>7.8930202217873502E-2</c:v>
                </c:pt>
                <c:pt idx="5">
                  <c:v>0.26182646091576034</c:v>
                </c:pt>
                <c:pt idx="6">
                  <c:v>9.4880130028443865E-2</c:v>
                </c:pt>
                <c:pt idx="7">
                  <c:v>4.4735896514552786E-2</c:v>
                </c:pt>
                <c:pt idx="8">
                  <c:v>0.16231983527796845</c:v>
                </c:pt>
                <c:pt idx="9">
                  <c:v>9.2128575044292615E-2</c:v>
                </c:pt>
                <c:pt idx="10">
                  <c:v>-0.10530303030303034</c:v>
                </c:pt>
                <c:pt idx="11">
                  <c:v>-3.8737446197991354E-2</c:v>
                </c:pt>
                <c:pt idx="12">
                  <c:v>-0.27627627627627638</c:v>
                </c:pt>
                <c:pt idx="13">
                  <c:v>3.1960227272727293E-2</c:v>
                </c:pt>
                <c:pt idx="14">
                  <c:v>1.1044842058758331E-3</c:v>
                </c:pt>
                <c:pt idx="15">
                  <c:v>3.186172428154932E-2</c:v>
                </c:pt>
              </c:numCache>
            </c:numRef>
          </c:val>
          <c:extLst>
            <c:ext xmlns:c16="http://schemas.microsoft.com/office/drawing/2014/chart" uri="{C3380CC4-5D6E-409C-BE32-E72D297353CC}">
              <c16:uniqueId val="{00000015-7C5D-4826-81EF-323CCF7FE9F8}"/>
            </c:ext>
          </c:extLst>
        </c:ser>
        <c:dLbls>
          <c:dLblPos val="outEnd"/>
          <c:showLegendKey val="0"/>
          <c:showVal val="1"/>
          <c:showCatName val="0"/>
          <c:showSerName val="0"/>
          <c:showPercent val="0"/>
          <c:showBubbleSize val="0"/>
        </c:dLbls>
        <c:gapWidth val="50"/>
        <c:overlap val="-5"/>
        <c:axId val="1388815"/>
        <c:axId val="1754420799"/>
      </c:barChart>
      <c:catAx>
        <c:axId val="1388815"/>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754420799"/>
        <c:crosses val="autoZero"/>
        <c:auto val="1"/>
        <c:lblAlgn val="ctr"/>
        <c:lblOffset val="100"/>
        <c:noMultiLvlLbl val="0"/>
      </c:catAx>
      <c:valAx>
        <c:axId val="1754420799"/>
        <c:scaling>
          <c:orientation val="minMax"/>
        </c:scaling>
        <c:delete val="1"/>
        <c:axPos val="l"/>
        <c:numFmt formatCode="0%" sourceLinked="1"/>
        <c:majorTickMark val="none"/>
        <c:minorTickMark val="none"/>
        <c:tickLblPos val="nextTo"/>
        <c:crossAx val="138881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v>2021</c:v>
          </c:tx>
          <c:spPr>
            <a:solidFill>
              <a:srgbClr val="B1812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'HEDIS Summary'!$J$34:$J$49</c:f>
              <c:strCache>
                <c:ptCount val="16"/>
                <c:pt idx="0">
                  <c:v>STAR
FUM
30 day</c:v>
                </c:pt>
                <c:pt idx="1">
                  <c:v>STAR+
PLUS
FUM
30 day</c:v>
                </c:pt>
                <c:pt idx="2">
                  <c:v>STAR
Kids
FUM
30 day</c:v>
                </c:pt>
                <c:pt idx="3">
                  <c:v>STAR
FUM
7 day</c:v>
                </c:pt>
                <c:pt idx="4">
                  <c:v>STAR+
PLUS
FUM
7 day</c:v>
                </c:pt>
                <c:pt idx="5">
                  <c:v>STAR
Kids
FUM
7 day</c:v>
                </c:pt>
                <c:pt idx="6">
                  <c:v>STAR
AMM
Acute</c:v>
                </c:pt>
                <c:pt idx="7">
                  <c:v>STAR+
PLUS
AMM
Acute</c:v>
                </c:pt>
                <c:pt idx="8">
                  <c:v>STAR
AMM
Cont</c:v>
                </c:pt>
                <c:pt idx="9">
                  <c:v>STAR+
PLUS
AMM
Cont</c:v>
                </c:pt>
                <c:pt idx="10">
                  <c:v>STAR
IET
Egmt</c:v>
                </c:pt>
                <c:pt idx="11">
                  <c:v>STAR+
PLUS
IET
Egmt</c:v>
                </c:pt>
                <c:pt idx="12">
                  <c:v>STAR
Kids
IET
Egmt</c:v>
                </c:pt>
                <c:pt idx="13">
                  <c:v>STAR
IET
Init</c:v>
                </c:pt>
                <c:pt idx="14">
                  <c:v>STAR+
PLUS
IET
Init</c:v>
                </c:pt>
                <c:pt idx="15">
                  <c:v>STAR
Kids
IET
Init</c:v>
                </c:pt>
              </c:strCache>
            </c:strRef>
          </c:cat>
          <c:val>
            <c:numRef>
              <c:f>'HEDIS Summary'!$M$34:$M$49</c:f>
              <c:numCache>
                <c:formatCode>0%</c:formatCode>
                <c:ptCount val="16"/>
                <c:pt idx="0">
                  <c:v>0.58260000000000001</c:v>
                </c:pt>
                <c:pt idx="1">
                  <c:v>0.50819999999999999</c:v>
                </c:pt>
                <c:pt idx="2">
                  <c:v>0.6552</c:v>
                </c:pt>
                <c:pt idx="3">
                  <c:v>0.44230000000000003</c:v>
                </c:pt>
                <c:pt idx="4">
                  <c:v>0.31979999999999997</c:v>
                </c:pt>
                <c:pt idx="5">
                  <c:v>0.48060000000000003</c:v>
                </c:pt>
                <c:pt idx="6">
                  <c:v>0.52780000000000005</c:v>
                </c:pt>
                <c:pt idx="7">
                  <c:v>0.6028</c:v>
                </c:pt>
                <c:pt idx="8">
                  <c:v>0.34720000000000001</c:v>
                </c:pt>
                <c:pt idx="9">
                  <c:v>0.44190000000000002</c:v>
                </c:pt>
                <c:pt idx="10">
                  <c:v>0.13370000000000001</c:v>
                </c:pt>
                <c:pt idx="11">
                  <c:v>6.1600000000000002E-2</c:v>
                </c:pt>
                <c:pt idx="12">
                  <c:v>9.4500000000000001E-2</c:v>
                </c:pt>
                <c:pt idx="13">
                  <c:v>0.42430000000000001</c:v>
                </c:pt>
                <c:pt idx="14">
                  <c:v>0.40150000000000002</c:v>
                </c:pt>
                <c:pt idx="15">
                  <c:v>0.4516</c:v>
                </c:pt>
              </c:numCache>
            </c:numRef>
          </c:val>
          <c:extLst>
            <c:ext xmlns:c16="http://schemas.microsoft.com/office/drawing/2014/chart" uri="{C3380CC4-5D6E-409C-BE32-E72D297353CC}">
              <c16:uniqueId val="{0000000F-1B08-4A1E-889C-888027A6D9FF}"/>
            </c:ext>
          </c:extLst>
        </c:ser>
        <c:ser>
          <c:idx val="0"/>
          <c:order val="1"/>
          <c:tx>
            <c:v>2022</c:v>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'HEDIS Summary'!$J$34:$J$49</c:f>
              <c:strCache>
                <c:ptCount val="16"/>
                <c:pt idx="0">
                  <c:v>STAR
FUM
30 day</c:v>
                </c:pt>
                <c:pt idx="1">
                  <c:v>STAR+
PLUS
FUM
30 day</c:v>
                </c:pt>
                <c:pt idx="2">
                  <c:v>STAR
Kids
FUM
30 day</c:v>
                </c:pt>
                <c:pt idx="3">
                  <c:v>STAR
FUM
7 day</c:v>
                </c:pt>
                <c:pt idx="4">
                  <c:v>STAR+
PLUS
FUM
7 day</c:v>
                </c:pt>
                <c:pt idx="5">
                  <c:v>STAR
Kids
FUM
7 day</c:v>
                </c:pt>
                <c:pt idx="6">
                  <c:v>STAR
AMM
Acute</c:v>
                </c:pt>
                <c:pt idx="7">
                  <c:v>STAR+
PLUS
AMM
Acute</c:v>
                </c:pt>
                <c:pt idx="8">
                  <c:v>STAR
AMM
Cont</c:v>
                </c:pt>
                <c:pt idx="9">
                  <c:v>STAR+
PLUS
AMM
Cont</c:v>
                </c:pt>
                <c:pt idx="10">
                  <c:v>STAR
IET
Egmt</c:v>
                </c:pt>
                <c:pt idx="11">
                  <c:v>STAR+
PLUS
IET
Egmt</c:v>
                </c:pt>
                <c:pt idx="12">
                  <c:v>STAR
Kids
IET
Egmt</c:v>
                </c:pt>
                <c:pt idx="13">
                  <c:v>STAR
IET
Init</c:v>
                </c:pt>
                <c:pt idx="14">
                  <c:v>STAR+
PLUS
IET
Init</c:v>
                </c:pt>
                <c:pt idx="15">
                  <c:v>STAR
Kids
IET
Init</c:v>
                </c:pt>
              </c:strCache>
            </c:strRef>
          </c:cat>
          <c:val>
            <c:numRef>
              <c:f>'HEDIS Summary'!$G$34:$G$49</c:f>
              <c:numCache>
                <c:formatCode>0%</c:formatCode>
                <c:ptCount val="16"/>
                <c:pt idx="0">
                  <c:v>0.58760000000000001</c:v>
                </c:pt>
                <c:pt idx="1">
                  <c:v>0.51239999999999997</c:v>
                </c:pt>
                <c:pt idx="2">
                  <c:v>0.68020000000000003</c:v>
                </c:pt>
                <c:pt idx="3">
                  <c:v>0.41760000000000003</c:v>
                </c:pt>
                <c:pt idx="4">
                  <c:v>0.33079999999999998</c:v>
                </c:pt>
                <c:pt idx="5">
                  <c:v>0.49880000000000002</c:v>
                </c:pt>
                <c:pt idx="6">
                  <c:v>0.53890000000000005</c:v>
                </c:pt>
                <c:pt idx="7">
                  <c:v>0.58150000000000002</c:v>
                </c:pt>
                <c:pt idx="8">
                  <c:v>0.3387</c:v>
                </c:pt>
                <c:pt idx="9">
                  <c:v>0.43149999999999999</c:v>
                </c:pt>
                <c:pt idx="10">
                  <c:v>0.1181</c:v>
                </c:pt>
                <c:pt idx="11">
                  <c:v>6.7000000000000004E-2</c:v>
                </c:pt>
                <c:pt idx="12">
                  <c:v>9.64E-2</c:v>
                </c:pt>
                <c:pt idx="13">
                  <c:v>0.43590000000000001</c:v>
                </c:pt>
                <c:pt idx="14">
                  <c:v>0.45319999999999999</c:v>
                </c:pt>
                <c:pt idx="15">
                  <c:v>0.4955</c:v>
                </c:pt>
              </c:numCache>
            </c:numRef>
          </c:val>
          <c:extLst>
            <c:ext xmlns:c16="http://schemas.microsoft.com/office/drawing/2014/chart" uri="{C3380CC4-5D6E-409C-BE32-E72D297353CC}">
              <c16:uniqueId val="{0000001B-1B08-4A1E-889C-888027A6D9FF}"/>
            </c:ext>
          </c:extLst>
        </c:ser>
        <c:dLbls>
          <c:dLblPos val="outEnd"/>
          <c:showLegendKey val="0"/>
          <c:showVal val="1"/>
          <c:showCatName val="0"/>
          <c:showSerName val="0"/>
          <c:showPercent val="0"/>
          <c:showBubbleSize val="0"/>
        </c:dLbls>
        <c:gapWidth val="50"/>
        <c:overlap val="-5"/>
        <c:axId val="1388815"/>
        <c:axId val="1754420799"/>
      </c:barChart>
      <c:catAx>
        <c:axId val="1388815"/>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754420799"/>
        <c:crosses val="autoZero"/>
        <c:auto val="1"/>
        <c:lblAlgn val="ctr"/>
        <c:lblOffset val="100"/>
        <c:noMultiLvlLbl val="0"/>
      </c:catAx>
      <c:valAx>
        <c:axId val="1754420799"/>
        <c:scaling>
          <c:orientation val="minMax"/>
        </c:scaling>
        <c:delete val="1"/>
        <c:axPos val="l"/>
        <c:numFmt formatCode="0%" sourceLinked="1"/>
        <c:majorTickMark val="none"/>
        <c:minorTickMark val="none"/>
        <c:tickLblPos val="nextTo"/>
        <c:crossAx val="138881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v>2021</c:v>
          </c:tx>
          <c:spPr>
            <a:solidFill>
              <a:srgbClr val="B18124"/>
            </a:solidFill>
            <a:ln>
              <a:noFill/>
            </a:ln>
            <a:effectLst/>
          </c:spPr>
          <c:invertIfNegative val="0"/>
          <c:dLbls>
            <c:dLbl>
              <c:idx val="3"/>
              <c:layout>
                <c:manualLayout>
                  <c:x val="-7.0323488045007029E-3"/>
                  <c:y val="-4.6827896673176986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6F5-4462-9870-02D8719232BD}"/>
                </c:ext>
              </c:extLst>
            </c:dLbl>
            <c:dLbl>
              <c:idx val="4"/>
              <c:layout>
                <c:manualLayout>
                  <c:x val="-5.6258790436006139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26F5-4462-9870-02D8719232BD}"/>
                </c:ext>
              </c:extLst>
            </c:dLbl>
            <c:dLbl>
              <c:idx val="7"/>
              <c:layout>
                <c:manualLayout>
                  <c:x val="-5.1569962159068325E-17"/>
                  <c:y val="3.065134099616867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6F5-4462-9870-02D8719232BD}"/>
                </c:ext>
              </c:extLst>
            </c:dLbl>
            <c:dLbl>
              <c:idx val="15"/>
              <c:layout>
                <c:manualLayout>
                  <c:x val="-5.6258790436006659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6F5-4462-9870-02D8719232B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'HEDIS Summary'!$J$2:$J$17</c:f>
              <c:strCache>
                <c:ptCount val="16"/>
                <c:pt idx="0">
                  <c:v>STAR
FUM
30 day</c:v>
                </c:pt>
                <c:pt idx="1">
                  <c:v>STAR+
PLUS
FUM
30 day</c:v>
                </c:pt>
                <c:pt idx="2">
                  <c:v>STAR 
Kids
FUM
30 day</c:v>
                </c:pt>
                <c:pt idx="3">
                  <c:v>STAR
FUM
7 day</c:v>
                </c:pt>
                <c:pt idx="4">
                  <c:v>STAR+
PLUS
FUM
7 day</c:v>
                </c:pt>
                <c:pt idx="5">
                  <c:v>STAR
Kids
FUM
7 day</c:v>
                </c:pt>
                <c:pt idx="6">
                  <c:v>STAR
AMM
Acute</c:v>
                </c:pt>
                <c:pt idx="7">
                  <c:v>STAR+
PLUS
AMM
Acute</c:v>
                </c:pt>
                <c:pt idx="8">
                  <c:v>STAR
AMM
Cont</c:v>
                </c:pt>
                <c:pt idx="9">
                  <c:v>STAR+
PLUS
AMM
Cont</c:v>
                </c:pt>
                <c:pt idx="10">
                  <c:v>STAR
IET
Egmt</c:v>
                </c:pt>
                <c:pt idx="11">
                  <c:v>STAR+
PLUS
IET
Egmt</c:v>
                </c:pt>
                <c:pt idx="12">
                  <c:v>STAR
Kids
IET
Egmt</c:v>
                </c:pt>
                <c:pt idx="13">
                  <c:v>STAR
IET
Init</c:v>
                </c:pt>
                <c:pt idx="14">
                  <c:v>STAR+
PLUS
IET
Init</c:v>
                </c:pt>
                <c:pt idx="15">
                  <c:v>STAR 
Kids
IET
Init</c:v>
                </c:pt>
              </c:strCache>
            </c:strRef>
          </c:cat>
          <c:val>
            <c:numRef>
              <c:f>'HEDIS Summary'!$L$2:$L$17</c:f>
              <c:numCache>
                <c:formatCode>0%</c:formatCode>
                <c:ptCount val="16"/>
                <c:pt idx="0">
                  <c:v>0.4</c:v>
                </c:pt>
                <c:pt idx="1">
                  <c:v>0.23</c:v>
                </c:pt>
                <c:pt idx="2">
                  <c:v>0.26</c:v>
                </c:pt>
                <c:pt idx="3">
                  <c:v>0.35</c:v>
                </c:pt>
                <c:pt idx="4">
                  <c:v>0.23</c:v>
                </c:pt>
                <c:pt idx="5">
                  <c:v>0.31</c:v>
                </c:pt>
                <c:pt idx="6">
                  <c:v>0.1</c:v>
                </c:pt>
                <c:pt idx="7">
                  <c:v>-0.05</c:v>
                </c:pt>
                <c:pt idx="8">
                  <c:v>0.2</c:v>
                </c:pt>
                <c:pt idx="9">
                  <c:v>0</c:v>
                </c:pt>
                <c:pt idx="10">
                  <c:v>0.52</c:v>
                </c:pt>
                <c:pt idx="11">
                  <c:v>0.33</c:v>
                </c:pt>
                <c:pt idx="12">
                  <c:v>7.0000000000000007E-2</c:v>
                </c:pt>
                <c:pt idx="13">
                  <c:v>0.23</c:v>
                </c:pt>
                <c:pt idx="14">
                  <c:v>-0.09</c:v>
                </c:pt>
                <c:pt idx="15">
                  <c:v>0.18</c:v>
                </c:pt>
              </c:numCache>
            </c:numRef>
          </c:val>
          <c:extLst>
            <c:ext xmlns:c16="http://schemas.microsoft.com/office/drawing/2014/chart" uri="{C3380CC4-5D6E-409C-BE32-E72D297353CC}">
              <c16:uniqueId val="{00000000-26F5-4462-9870-02D8719232BD}"/>
            </c:ext>
          </c:extLst>
        </c:ser>
        <c:ser>
          <c:idx val="0"/>
          <c:order val="1"/>
          <c:tx>
            <c:v>2022</c:v>
          </c:tx>
          <c:spPr>
            <a:solidFill>
              <a:srgbClr val="002060"/>
            </a:solidFill>
            <a:ln>
              <a:noFill/>
            </a:ln>
            <a:effectLst/>
          </c:spPr>
          <c:invertIfNegative val="0"/>
          <c:dLbls>
            <c:dLbl>
              <c:idx val="0"/>
              <c:layout>
                <c:manualLayout>
                  <c:x val="1.2658227848101259E-2"/>
                  <c:y val="1.53256704980842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6F5-4462-9870-02D8719232BD}"/>
                </c:ext>
              </c:extLst>
            </c:dLbl>
            <c:dLbl>
              <c:idx val="1"/>
              <c:layout>
                <c:manualLayout>
                  <c:x val="4.2194092827004216E-3"/>
                  <c:y val="-1.532567049808433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6F5-4462-9870-02D8719232BD}"/>
                </c:ext>
              </c:extLst>
            </c:dLbl>
            <c:dLbl>
              <c:idx val="2"/>
              <c:layout>
                <c:manualLayout>
                  <c:x val="8.4388185654008432E-3"/>
                  <c:y val="3.065134099616858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6F5-4462-9870-02D8719232BD}"/>
                </c:ext>
              </c:extLst>
            </c:dLbl>
            <c:dLbl>
              <c:idx val="3"/>
              <c:layout>
                <c:manualLayout>
                  <c:x val="8.4388185654008432E-3"/>
                  <c:y val="-4.6827896673176986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6F5-4462-9870-02D8719232BD}"/>
                </c:ext>
              </c:extLst>
            </c:dLbl>
            <c:dLbl>
              <c:idx val="5"/>
              <c:layout>
                <c:manualLayout>
                  <c:x val="1.1251758087201073E-2"/>
                  <c:y val="1.021711366538943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26F5-4462-9870-02D8719232BD}"/>
                </c:ext>
              </c:extLst>
            </c:dLbl>
            <c:dLbl>
              <c:idx val="6"/>
              <c:layout>
                <c:manualLayout>
                  <c:x val="4.2194092827004736E-3"/>
                  <c:y val="1.021711366538952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6F5-4462-9870-02D8719232BD}"/>
                </c:ext>
              </c:extLst>
            </c:dLbl>
            <c:dLbl>
              <c:idx val="7"/>
              <c:layout>
                <c:manualLayout>
                  <c:x val="4.2194092827004216E-3"/>
                  <c:y val="1.8731158669270794E-1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6F5-4462-9870-02D8719232BD}"/>
                </c:ext>
              </c:extLst>
            </c:dLbl>
            <c:dLbl>
              <c:idx val="8"/>
              <c:layout>
                <c:manualLayout>
                  <c:x val="8.4388185654008432E-3"/>
                  <c:y val="1.53256704980842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6F5-4462-9870-02D8719232BD}"/>
                </c:ext>
              </c:extLst>
            </c:dLbl>
            <c:dLbl>
              <c:idx val="10"/>
              <c:layout>
                <c:manualLayout>
                  <c:x val="1.1251758087201125E-2"/>
                  <c:y val="2.55427841634738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6F5-4462-9870-02D8719232BD}"/>
                </c:ext>
              </c:extLst>
            </c:dLbl>
            <c:dLbl>
              <c:idx val="15"/>
              <c:layout>
                <c:manualLayout>
                  <c:x val="4.2194092827004216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6F5-4462-9870-02D8719232B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'HEDIS Summary'!$J$2:$J$17</c:f>
              <c:strCache>
                <c:ptCount val="16"/>
                <c:pt idx="0">
                  <c:v>STAR
FUM
30 day</c:v>
                </c:pt>
                <c:pt idx="1">
                  <c:v>STAR+
PLUS
FUM
30 day</c:v>
                </c:pt>
                <c:pt idx="2">
                  <c:v>STAR 
Kids
FUM
30 day</c:v>
                </c:pt>
                <c:pt idx="3">
                  <c:v>STAR
FUM
7 day</c:v>
                </c:pt>
                <c:pt idx="4">
                  <c:v>STAR+
PLUS
FUM
7 day</c:v>
                </c:pt>
                <c:pt idx="5">
                  <c:v>STAR
Kids
FUM
7 day</c:v>
                </c:pt>
                <c:pt idx="6">
                  <c:v>STAR
AMM
Acute</c:v>
                </c:pt>
                <c:pt idx="7">
                  <c:v>STAR+
PLUS
AMM
Acute</c:v>
                </c:pt>
                <c:pt idx="8">
                  <c:v>STAR
AMM
Cont</c:v>
                </c:pt>
                <c:pt idx="9">
                  <c:v>STAR+
PLUS
AMM
Cont</c:v>
                </c:pt>
                <c:pt idx="10">
                  <c:v>STAR
IET
Egmt</c:v>
                </c:pt>
                <c:pt idx="11">
                  <c:v>STAR+
PLUS
IET
Egmt</c:v>
                </c:pt>
                <c:pt idx="12">
                  <c:v>STAR
Kids
IET
Egmt</c:v>
                </c:pt>
                <c:pt idx="13">
                  <c:v>STAR
IET
Init</c:v>
                </c:pt>
                <c:pt idx="14">
                  <c:v>STAR+
PLUS
IET
Init</c:v>
                </c:pt>
                <c:pt idx="15">
                  <c:v>STAR 
Kids
IET
Init</c:v>
                </c:pt>
              </c:strCache>
            </c:strRef>
          </c:cat>
          <c:val>
            <c:numRef>
              <c:f>'HEDIS Summary'!$K$2:$K$17</c:f>
              <c:numCache>
                <c:formatCode>0%</c:formatCode>
                <c:ptCount val="16"/>
                <c:pt idx="0">
                  <c:v>0.410820321090829</c:v>
                </c:pt>
                <c:pt idx="1">
                  <c:v>0.25611353711790397</c:v>
                </c:pt>
                <c:pt idx="2">
                  <c:v>0.23705530116238127</c:v>
                </c:pt>
                <c:pt idx="3">
                  <c:v>0.35484886649874059</c:v>
                </c:pt>
                <c:pt idx="4">
                  <c:v>0.28212654924983704</c:v>
                </c:pt>
                <c:pt idx="5">
                  <c:v>0.29547179357450037</c:v>
                </c:pt>
                <c:pt idx="6">
                  <c:v>6.7858594067452094E-2</c:v>
                </c:pt>
                <c:pt idx="7">
                  <c:v>-6.6295364714336946E-2</c:v>
                </c:pt>
                <c:pt idx="8">
                  <c:v>0.16197666437886071</c:v>
                </c:pt>
                <c:pt idx="9">
                  <c:v>-3.5940268286509758E-2</c:v>
                </c:pt>
                <c:pt idx="10">
                  <c:v>0.44242424242424239</c:v>
                </c:pt>
                <c:pt idx="11">
                  <c:v>0.47345767575322806</c:v>
                </c:pt>
                <c:pt idx="12">
                  <c:v>0.13588588588588579</c:v>
                </c:pt>
                <c:pt idx="13">
                  <c:v>0.28929924242424243</c:v>
                </c:pt>
                <c:pt idx="14">
                  <c:v>7.5104925999558425E-3</c:v>
                </c:pt>
                <c:pt idx="15">
                  <c:v>0.19200333194502295</c:v>
                </c:pt>
              </c:numCache>
            </c:numRef>
          </c:val>
          <c:extLst>
            <c:ext xmlns:c16="http://schemas.microsoft.com/office/drawing/2014/chart" uri="{C3380CC4-5D6E-409C-BE32-E72D297353CC}">
              <c16:uniqueId val="{00000001-26F5-4462-9870-02D8719232BD}"/>
            </c:ext>
          </c:extLst>
        </c:ser>
        <c:dLbls>
          <c:dLblPos val="outEnd"/>
          <c:showLegendKey val="0"/>
          <c:showVal val="1"/>
          <c:showCatName val="0"/>
          <c:showSerName val="0"/>
          <c:showPercent val="0"/>
          <c:showBubbleSize val="0"/>
        </c:dLbls>
        <c:gapWidth val="50"/>
        <c:overlap val="-5"/>
        <c:axId val="1864113631"/>
        <c:axId val="1765337231"/>
      </c:barChart>
      <c:catAx>
        <c:axId val="1864113631"/>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765337231"/>
        <c:crosses val="autoZero"/>
        <c:auto val="1"/>
        <c:lblAlgn val="ctr"/>
        <c:lblOffset val="100"/>
        <c:noMultiLvlLbl val="0"/>
      </c:catAx>
      <c:valAx>
        <c:axId val="1765337231"/>
        <c:scaling>
          <c:orientation val="minMax"/>
        </c:scaling>
        <c:delete val="1"/>
        <c:axPos val="l"/>
        <c:numFmt formatCode="0%" sourceLinked="1"/>
        <c:majorTickMark val="none"/>
        <c:minorTickMark val="none"/>
        <c:tickLblPos val="nextTo"/>
        <c:crossAx val="18641136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v>2021</c:v>
          </c:tx>
          <c:spPr>
            <a:solidFill>
              <a:srgbClr val="B18124"/>
            </a:solidFill>
            <a:ln>
              <a:noFill/>
            </a:ln>
            <a:effectLst/>
          </c:spPr>
          <c:invertIfNegative val="0"/>
          <c:dLbls>
            <c:dLbl>
              <c:idx val="1"/>
              <c:layout>
                <c:manualLayout>
                  <c:x val="-2.5740028348486339E-3"/>
                  <c:y val="1.257862050500024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5E8-41D3-99E0-EAB5B0E3A402}"/>
                </c:ext>
              </c:extLst>
            </c:dLbl>
            <c:dLbl>
              <c:idx val="4"/>
              <c:layout>
                <c:manualLayout>
                  <c:x val="-2.5740028348486812E-3"/>
                  <c:y val="1.257862050500017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5E8-41D3-99E0-EAB5B0E3A402}"/>
                </c:ext>
              </c:extLst>
            </c:dLbl>
            <c:dLbl>
              <c:idx val="5"/>
              <c:layout>
                <c:manualLayout>
                  <c:x val="0"/>
                  <c:y val="1.257862050500017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5E8-41D3-99E0-EAB5B0E3A402}"/>
                </c:ext>
              </c:extLst>
            </c:dLbl>
            <c:dLbl>
              <c:idx val="11"/>
              <c:layout>
                <c:manualLayout>
                  <c:x val="0"/>
                  <c:y val="8.385747003333499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5E8-41D3-99E0-EAB5B0E3A402}"/>
                </c:ext>
              </c:extLst>
            </c:dLbl>
            <c:dLbl>
              <c:idx val="12"/>
              <c:layout>
                <c:manualLayout>
                  <c:x val="0"/>
                  <c:y val="2.096436750833374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5E8-41D3-99E0-EAB5B0E3A402}"/>
                </c:ext>
              </c:extLst>
            </c:dLbl>
            <c:dLbl>
              <c:idx val="13"/>
              <c:layout>
                <c:manualLayout>
                  <c:x val="-6.5616797900263429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5E8-41D3-99E0-EAB5B0E3A402}"/>
                </c:ext>
              </c:extLst>
            </c:dLbl>
            <c:dLbl>
              <c:idx val="14"/>
              <c:layout>
                <c:manualLayout>
                  <c:x val="-1.439009458852386E-3"/>
                  <c:y val="1.655887900390531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5E8-41D3-99E0-EAB5B0E3A402}"/>
                </c:ext>
              </c:extLst>
            </c:dLbl>
            <c:dLbl>
              <c:idx val="15"/>
              <c:layout>
                <c:manualLayout>
                  <c:x val="-1.439009458852386E-3"/>
                  <c:y val="1.634593385362381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5E8-41D3-99E0-EAB5B0E3A40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'HEDIS Summary'!$J$2:$J$17</c:f>
              <c:strCache>
                <c:ptCount val="16"/>
                <c:pt idx="0">
                  <c:v>STAR
FUM
30 day</c:v>
                </c:pt>
                <c:pt idx="1">
                  <c:v>STAR+
PLUS
FUM
30 day</c:v>
                </c:pt>
                <c:pt idx="2">
                  <c:v>STAR 
Kids
FUM
30 day</c:v>
                </c:pt>
                <c:pt idx="3">
                  <c:v>STAR
FUM
7 day</c:v>
                </c:pt>
                <c:pt idx="4">
                  <c:v>STAR+
PLUS
FUM
7 day</c:v>
                </c:pt>
                <c:pt idx="5">
                  <c:v>STAR
Kids
FUM
7 day</c:v>
                </c:pt>
                <c:pt idx="6">
                  <c:v>STAR
AMM
Acute</c:v>
                </c:pt>
                <c:pt idx="7">
                  <c:v>STAR+
PLUS
AMM
Acute</c:v>
                </c:pt>
                <c:pt idx="8">
                  <c:v>STAR
AMM
Cont</c:v>
                </c:pt>
                <c:pt idx="9">
                  <c:v>STAR+
PLUS
AMM
Cont</c:v>
                </c:pt>
                <c:pt idx="10">
                  <c:v>STAR
IET
Egmt</c:v>
                </c:pt>
                <c:pt idx="11">
                  <c:v>STAR+
PLUS
IET
Egmt</c:v>
                </c:pt>
                <c:pt idx="12">
                  <c:v>STAR
Kids
IET
Egmt</c:v>
                </c:pt>
                <c:pt idx="13">
                  <c:v>STAR
IET
Init</c:v>
                </c:pt>
                <c:pt idx="14">
                  <c:v>STAR+
PLUS
IET
Init</c:v>
                </c:pt>
                <c:pt idx="15">
                  <c:v>STAR 
Kids
IET
Init</c:v>
                </c:pt>
              </c:strCache>
            </c:strRef>
          </c:cat>
          <c:val>
            <c:numRef>
              <c:f>'HEDIS Summary'!$M$2:$M$17</c:f>
              <c:numCache>
                <c:formatCode>0%</c:formatCode>
                <c:ptCount val="16"/>
                <c:pt idx="0">
                  <c:v>0.64259999999999995</c:v>
                </c:pt>
                <c:pt idx="1">
                  <c:v>0.57440000000000002</c:v>
                </c:pt>
                <c:pt idx="2">
                  <c:v>0.71330000000000005</c:v>
                </c:pt>
                <c:pt idx="3">
                  <c:v>0.45689999999999997</c:v>
                </c:pt>
                <c:pt idx="4">
                  <c:v>0.3659</c:v>
                </c:pt>
                <c:pt idx="5">
                  <c:v>0.51300000000000001</c:v>
                </c:pt>
                <c:pt idx="6">
                  <c:v>0.5524</c:v>
                </c:pt>
                <c:pt idx="7">
                  <c:v>0.54790000000000005</c:v>
                </c:pt>
                <c:pt idx="8">
                  <c:v>0.36670000000000003</c:v>
                </c:pt>
                <c:pt idx="9">
                  <c:v>0.40870000000000001</c:v>
                </c:pt>
                <c:pt idx="10">
                  <c:v>0.2099</c:v>
                </c:pt>
                <c:pt idx="11">
                  <c:v>8.2699999999999996E-2</c:v>
                </c:pt>
                <c:pt idx="12">
                  <c:v>0.14099999999999999</c:v>
                </c:pt>
                <c:pt idx="13">
                  <c:v>0.51160000000000005</c:v>
                </c:pt>
                <c:pt idx="14">
                  <c:v>0.36409999999999998</c:v>
                </c:pt>
                <c:pt idx="15">
                  <c:v>0.54959999999999998</c:v>
                </c:pt>
              </c:numCache>
            </c:numRef>
          </c:val>
          <c:extLst>
            <c:ext xmlns:c16="http://schemas.microsoft.com/office/drawing/2014/chart" uri="{C3380CC4-5D6E-409C-BE32-E72D297353CC}">
              <c16:uniqueId val="{00000008-25E8-41D3-99E0-EAB5B0E3A402}"/>
            </c:ext>
          </c:extLst>
        </c:ser>
        <c:ser>
          <c:idx val="0"/>
          <c:order val="1"/>
          <c:tx>
            <c:v>2022</c:v>
          </c:tx>
          <c:spPr>
            <a:solidFill>
              <a:srgbClr val="002060"/>
            </a:solidFill>
            <a:ln>
              <a:noFill/>
            </a:ln>
            <a:effectLst/>
          </c:spPr>
          <c:invertIfNegative val="0"/>
          <c:dLbls>
            <c:dLbl>
              <c:idx val="0"/>
              <c:layout>
                <c:manualLayout>
                  <c:x val="3.8610042522729507E-3"/>
                  <c:y val="8.385747003333499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5E8-41D3-99E0-EAB5B0E3A402}"/>
                </c:ext>
              </c:extLst>
            </c:dLbl>
            <c:dLbl>
              <c:idx val="1"/>
              <c:layout>
                <c:manualLayout>
                  <c:x val="6.4350070871215847E-3"/>
                  <c:y val="4.192873501666749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5E8-41D3-99E0-EAB5B0E3A402}"/>
                </c:ext>
              </c:extLst>
            </c:dLbl>
            <c:dLbl>
              <c:idx val="2"/>
              <c:layout>
                <c:manualLayout>
                  <c:x val="3.8610042522729507E-3"/>
                  <c:y val="1.257862050500024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5E8-41D3-99E0-EAB5B0E3A402}"/>
                </c:ext>
              </c:extLst>
            </c:dLbl>
            <c:dLbl>
              <c:idx val="3"/>
              <c:layout>
                <c:manualLayout>
                  <c:x val="2.5740028348486339E-3"/>
                  <c:y val="1.257862050500024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5E8-41D3-99E0-EAB5B0E3A402}"/>
                </c:ext>
              </c:extLst>
            </c:dLbl>
            <c:dLbl>
              <c:idx val="4"/>
              <c:layout>
                <c:manualLayout>
                  <c:x val="3.8610042522729507E-3"/>
                  <c:y val="1.257862050500024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5E8-41D3-99E0-EAB5B0E3A402}"/>
                </c:ext>
              </c:extLst>
            </c:dLbl>
            <c:dLbl>
              <c:idx val="5"/>
              <c:layout>
                <c:manualLayout>
                  <c:x val="7.7220085045459014E-3"/>
                  <c:y val="1.677149400666699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25E8-41D3-99E0-EAB5B0E3A402}"/>
                </c:ext>
              </c:extLst>
            </c:dLbl>
            <c:dLbl>
              <c:idx val="6"/>
              <c:layout>
                <c:manualLayout>
                  <c:x val="3.8610042522729039E-3"/>
                  <c:y val="1.257862050500024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25E8-41D3-99E0-EAB5B0E3A402}"/>
                </c:ext>
              </c:extLst>
            </c:dLbl>
            <c:dLbl>
              <c:idx val="7"/>
              <c:layout>
                <c:manualLayout>
                  <c:x val="5.1480056696972679E-3"/>
                  <c:y val="1.677149400666692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25E8-41D3-99E0-EAB5B0E3A402}"/>
                </c:ext>
              </c:extLst>
            </c:dLbl>
            <c:dLbl>
              <c:idx val="8"/>
              <c:layout>
                <c:manualLayout>
                  <c:x val="6.4350070871215847E-3"/>
                  <c:y val="1.677149400666699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25E8-41D3-99E0-EAB5B0E3A402}"/>
                </c:ext>
              </c:extLst>
            </c:dLbl>
            <c:dLbl>
              <c:idx val="9"/>
              <c:layout>
                <c:manualLayout>
                  <c:x val="1.287001417424317E-3"/>
                  <c:y val="1.677149400666699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25E8-41D3-99E0-EAB5B0E3A402}"/>
                </c:ext>
              </c:extLst>
            </c:dLbl>
            <c:dLbl>
              <c:idx val="10"/>
              <c:layout>
                <c:manualLayout>
                  <c:x val="3.8610042522729507E-3"/>
                  <c:y val="2.096436750833374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25E8-41D3-99E0-EAB5B0E3A402}"/>
                </c:ext>
              </c:extLst>
            </c:dLbl>
            <c:dLbl>
              <c:idx val="12"/>
              <c:layout>
                <c:manualLayout>
                  <c:x val="5.1480056696972679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25E8-41D3-99E0-EAB5B0E3A402}"/>
                </c:ext>
              </c:extLst>
            </c:dLbl>
            <c:dLbl>
              <c:idx val="15"/>
              <c:layout>
                <c:manualLayout>
                  <c:x val="2.6246719160103061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25E8-41D3-99E0-EAB5B0E3A40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'HEDIS Summary'!$J$2:$J$17</c:f>
              <c:strCache>
                <c:ptCount val="16"/>
                <c:pt idx="0">
                  <c:v>STAR
FUM
30 day</c:v>
                </c:pt>
                <c:pt idx="1">
                  <c:v>STAR+
PLUS
FUM
30 day</c:v>
                </c:pt>
                <c:pt idx="2">
                  <c:v>STAR 
Kids
FUM
30 day</c:v>
                </c:pt>
                <c:pt idx="3">
                  <c:v>STAR
FUM
7 day</c:v>
                </c:pt>
                <c:pt idx="4">
                  <c:v>STAR+
PLUS
FUM
7 day</c:v>
                </c:pt>
                <c:pt idx="5">
                  <c:v>STAR
Kids
FUM
7 day</c:v>
                </c:pt>
                <c:pt idx="6">
                  <c:v>STAR
AMM
Acute</c:v>
                </c:pt>
                <c:pt idx="7">
                  <c:v>STAR+
PLUS
AMM
Acute</c:v>
                </c:pt>
                <c:pt idx="8">
                  <c:v>STAR
AMM
Cont</c:v>
                </c:pt>
                <c:pt idx="9">
                  <c:v>STAR+
PLUS
AMM
Cont</c:v>
                </c:pt>
                <c:pt idx="10">
                  <c:v>STAR
IET
Egmt</c:v>
                </c:pt>
                <c:pt idx="11">
                  <c:v>STAR+
PLUS
IET
Egmt</c:v>
                </c:pt>
                <c:pt idx="12">
                  <c:v>STAR
Kids
IET
Egmt</c:v>
                </c:pt>
                <c:pt idx="13">
                  <c:v>STAR
IET
Init</c:v>
                </c:pt>
                <c:pt idx="14">
                  <c:v>STAR+
PLUS
IET
Init</c:v>
                </c:pt>
                <c:pt idx="15">
                  <c:v>STAR 
Kids
IET
Init</c:v>
                </c:pt>
              </c:strCache>
            </c:strRef>
          </c:cat>
          <c:val>
            <c:numRef>
              <c:f>'HEDIS Summary'!$G$2:$G$17</c:f>
              <c:numCache>
                <c:formatCode>0%</c:formatCode>
                <c:ptCount val="16"/>
                <c:pt idx="0">
                  <c:v>0.64149999999999996</c:v>
                </c:pt>
                <c:pt idx="1">
                  <c:v>0.57530000000000003</c:v>
                </c:pt>
                <c:pt idx="2">
                  <c:v>0.70240000000000002</c:v>
                </c:pt>
                <c:pt idx="3">
                  <c:v>0.43030000000000002</c:v>
                </c:pt>
                <c:pt idx="4">
                  <c:v>0.3931</c:v>
                </c:pt>
                <c:pt idx="5">
                  <c:v>0.5121</c:v>
                </c:pt>
                <c:pt idx="6">
                  <c:v>0.52559999999999996</c:v>
                </c:pt>
                <c:pt idx="7">
                  <c:v>0.51970000000000005</c:v>
                </c:pt>
                <c:pt idx="8">
                  <c:v>0.33860000000000001</c:v>
                </c:pt>
                <c:pt idx="9">
                  <c:v>0.38090000000000002</c:v>
                </c:pt>
                <c:pt idx="10">
                  <c:v>0.19040000000000001</c:v>
                </c:pt>
                <c:pt idx="11">
                  <c:v>0.1027</c:v>
                </c:pt>
                <c:pt idx="12">
                  <c:v>0.15129999999999999</c:v>
                </c:pt>
                <c:pt idx="13">
                  <c:v>0.54459999999999997</c:v>
                </c:pt>
                <c:pt idx="14">
                  <c:v>0.45610000000000001</c:v>
                </c:pt>
                <c:pt idx="15">
                  <c:v>0.57240000000000002</c:v>
                </c:pt>
              </c:numCache>
            </c:numRef>
          </c:val>
          <c:extLst>
            <c:ext xmlns:c16="http://schemas.microsoft.com/office/drawing/2014/chart" uri="{C3380CC4-5D6E-409C-BE32-E72D297353CC}">
              <c16:uniqueId val="{00000016-25E8-41D3-99E0-EAB5B0E3A402}"/>
            </c:ext>
          </c:extLst>
        </c:ser>
        <c:dLbls>
          <c:dLblPos val="outEnd"/>
          <c:showLegendKey val="0"/>
          <c:showVal val="1"/>
          <c:showCatName val="0"/>
          <c:showSerName val="0"/>
          <c:showPercent val="0"/>
          <c:showBubbleSize val="0"/>
        </c:dLbls>
        <c:gapWidth val="50"/>
        <c:overlap val="-5"/>
        <c:axId val="1864113631"/>
        <c:axId val="1765337231"/>
      </c:barChart>
      <c:catAx>
        <c:axId val="1864113631"/>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765337231"/>
        <c:crosses val="autoZero"/>
        <c:auto val="1"/>
        <c:lblAlgn val="ctr"/>
        <c:lblOffset val="100"/>
        <c:noMultiLvlLbl val="0"/>
      </c:catAx>
      <c:valAx>
        <c:axId val="1765337231"/>
        <c:scaling>
          <c:orientation val="minMax"/>
        </c:scaling>
        <c:delete val="1"/>
        <c:axPos val="l"/>
        <c:numFmt formatCode="0%" sourceLinked="1"/>
        <c:majorTickMark val="none"/>
        <c:minorTickMark val="none"/>
        <c:tickLblPos val="nextTo"/>
        <c:crossAx val="186411363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HHS Legislative">
  <a:themeElements>
    <a:clrScheme name="HHS Internal">
      <a:dk1>
        <a:srgbClr val="1E3C78"/>
      </a:dk1>
      <a:lt1>
        <a:srgbClr val="FFFFFF"/>
      </a:lt1>
      <a:dk2>
        <a:srgbClr val="000000"/>
      </a:dk2>
      <a:lt2>
        <a:srgbClr val="D1D3D3"/>
      </a:lt2>
      <a:accent1>
        <a:srgbClr val="6DABE4"/>
      </a:accent1>
      <a:accent2>
        <a:srgbClr val="AB2328"/>
      </a:accent2>
      <a:accent3>
        <a:srgbClr val="6CC04A"/>
      </a:accent3>
      <a:accent4>
        <a:srgbClr val="FFC409"/>
      </a:accent4>
      <a:accent5>
        <a:srgbClr val="00A19B"/>
      </a:accent5>
      <a:accent6>
        <a:srgbClr val="B18124"/>
      </a:accent6>
      <a:hlink>
        <a:srgbClr val="00B3E3"/>
      </a:hlink>
      <a:folHlink>
        <a:srgbClr val="7D868C"/>
      </a:folHlink>
    </a:clrScheme>
    <a:fontScheme name="Rockwell+Verdana">
      <a:majorFont>
        <a:latin typeface="Rockwell"/>
        <a:ea typeface=""/>
        <a:cs typeface=""/>
      </a:majorFont>
      <a:minorFont>
        <a:latin typeface="Verdan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HHS Legislative" id="{AE6E0F64-0A86-41DD-8677-CFDE883738AC}" vid="{F2FFE3E8-6C19-41D3-BB94-1D74DBDD9E29}"/>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[Month 20YY]</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C15DBEA475B1E340AEDACFF7173EF889" ma:contentTypeVersion="16" ma:contentTypeDescription="Create a new document." ma:contentTypeScope="" ma:versionID="d94d22efed1f477efce66a394b20b699">
  <xsd:schema xmlns:xsd="http://www.w3.org/2001/XMLSchema" xmlns:xs="http://www.w3.org/2001/XMLSchema" xmlns:p="http://schemas.microsoft.com/office/2006/metadata/properties" xmlns:ns2="9cd43c2b-61d3-466a-a2d9-182bbb415204" xmlns:ns3="48df5750-f27e-41b5-9db4-e48a61f14a89" xmlns:ns4="d853a810-d2a2-4c28-9ad9-9100c9a22e04" targetNamespace="http://schemas.microsoft.com/office/2006/metadata/properties" ma:root="true" ma:fieldsID="b801a2cab1a75f3a011dc2d4c198b14b" ns2:_="" ns3:_="" ns4:_="">
    <xsd:import namespace="9cd43c2b-61d3-466a-a2d9-182bbb415204"/>
    <xsd:import namespace="48df5750-f27e-41b5-9db4-e48a61f14a89"/>
    <xsd:import namespace="d853a810-d2a2-4c28-9ad9-9100c9a22e0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AutoKeyPoints" minOccurs="0"/>
                <xsd:element ref="ns2:MediaServiceKeyPoints" minOccurs="0"/>
                <xsd:element ref="ns2:MediaServiceObjectDetectorVersion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cd43c2b-61d3-466a-a2d9-182bbb41520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0c590b57-b2b8-4f92-a7a2-a2c14f8ff435"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8df5750-f27e-41b5-9db4-e48a61f14a8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53a810-d2a2-4c28-9ad9-9100c9a22e04"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a0ce975c-b5e3-4616-a45d-cb5cb04ef9d4}" ma:internalName="TaxCatchAll" ma:showField="CatchAllData" ma:web="48df5750-f27e-41b5-9db4-e48a61f14a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d853a810-d2a2-4c28-9ad9-9100c9a22e04" xsi:nil="true"/>
    <lcf76f155ced4ddcb4097134ff3c332f xmlns="9cd43c2b-61d3-466a-a2d9-182bbb415204">
      <Terms xmlns="http://schemas.microsoft.com/office/infopath/2007/PartnerControls"/>
    </lcf76f155ced4ddcb4097134ff3c332f>
    <SharedWithUsers xmlns="48df5750-f27e-41b5-9db4-e48a61f14a89">
      <UserInfo>
        <DisplayName/>
        <AccountId xsi:nil="true"/>
        <AccountType/>
      </UserInfo>
    </SharedWithUsers>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17D7323-7FA1-4309-BB17-82F49E182B9A}">
  <ds:schemaRefs>
    <ds:schemaRef ds:uri="http://schemas.openxmlformats.org/officeDocument/2006/bibliography"/>
  </ds:schemaRefs>
</ds:datastoreItem>
</file>

<file path=customXml/itemProps3.xml><?xml version="1.0" encoding="utf-8"?>
<ds:datastoreItem xmlns:ds="http://schemas.openxmlformats.org/officeDocument/2006/customXml" ds:itemID="{125D263C-0303-4BDB-9D85-1671BF3294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cd43c2b-61d3-466a-a2d9-182bbb415204"/>
    <ds:schemaRef ds:uri="48df5750-f27e-41b5-9db4-e48a61f14a89"/>
    <ds:schemaRef ds:uri="d853a810-d2a2-4c28-9ad9-9100c9a22e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922B2D8-8F4B-4BDC-A868-AE50D160D3A6}">
  <ds:schemaRefs>
    <ds:schemaRef ds:uri="http://purl.org/dc/elements/1.1/"/>
    <ds:schemaRef ds:uri="http://schemas.microsoft.com/office/2006/documentManagement/types"/>
    <ds:schemaRef ds:uri="48df5750-f27e-41b5-9db4-e48a61f14a89"/>
    <ds:schemaRef ds:uri="http://purl.org/dc/dcmitype/"/>
    <ds:schemaRef ds:uri="http://purl.org/dc/terms/"/>
    <ds:schemaRef ds:uri="http://schemas.microsoft.com/office/infopath/2007/PartnerControls"/>
    <ds:schemaRef ds:uri="http://schemas.openxmlformats.org/package/2006/metadata/core-properties"/>
    <ds:schemaRef ds:uri="http://www.w3.org/XML/1998/namespace"/>
    <ds:schemaRef ds:uri="d853a810-d2a2-4c28-9ad9-9100c9a22e04"/>
    <ds:schemaRef ds:uri="9cd43c2b-61d3-466a-a2d9-182bbb415204"/>
    <ds:schemaRef ds:uri="http://schemas.microsoft.com/office/2006/metadata/properties"/>
  </ds:schemaRefs>
</ds:datastoreItem>
</file>

<file path=customXml/itemProps5.xml><?xml version="1.0" encoding="utf-8"?>
<ds:datastoreItem xmlns:ds="http://schemas.openxmlformats.org/officeDocument/2006/customXml" ds:itemID="{0E119A57-98D0-4FCB-B8B6-AE5F808FD11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HHS-Template-for-Reports-Basic-Instructions</Template>
  <TotalTime>13</TotalTime>
  <Pages>31</Pages>
  <Words>5748</Words>
  <Characters>33288</Characters>
  <Application>Microsoft Office Word</Application>
  <DocSecurity>0</DocSecurity>
  <Lines>277</Lines>
  <Paragraphs>77</Paragraphs>
  <ScaleCrop>false</ScaleCrop>
  <HeadingPairs>
    <vt:vector size="2" baseType="variant">
      <vt:variant>
        <vt:lpstr>Title</vt:lpstr>
      </vt:variant>
      <vt:variant>
        <vt:i4>1</vt:i4>
      </vt:variant>
    </vt:vector>
  </HeadingPairs>
  <TitlesOfParts>
    <vt:vector size="1" baseType="lpstr">
      <vt:lpstr>Evaluation of Four State Directed Payment Programs SFY2022 and SFY2023</vt:lpstr>
    </vt:vector>
  </TitlesOfParts>
  <Company/>
  <LinksUpToDate>false</LinksUpToDate>
  <CharactersWithSpaces>38959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Evaluation of Four State Directed Payment Programs SFY2022 and SFY2023</dc:title>
  <dc:subject/>
  <dc:creator>Texas Health and Human Services Commission</dc:creator>
  <cp:keywords/>
  <dc:description/>
  <cp:lastModifiedBy>Diseker,Sarah (HHSC)</cp:lastModifiedBy>
  <cp:revision>4</cp:revision>
  <cp:lastPrinted>2023-03-16T18:03:00Z</cp:lastPrinted>
  <dcterms:created xsi:type="dcterms:W3CDTF">2024-02-20T22:15:00Z</dcterms:created>
  <dcterms:modified xsi:type="dcterms:W3CDTF">2024-03-15T19:37:00Z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0x010100C15DBEA475B1E340AEDACFF7173EF889</vt:lpwstr>
  </property>
  <property fmtid="{D5CDD505-2E9C-101B-9397-08002B2CF9AE}" pid="3" name="_dlc_DocIdItemGuid">
    <vt:lpwstr>e1f02b70-aa94-4169-9645-d0400fabc369</vt:lpwstr>
  </property>
  <property fmtid="{D5CDD505-2E9C-101B-9397-08002B2CF9AE}" pid="4" name="GrammarlyDocumentId">
    <vt:lpwstr>73c1a6aa2192a6ff437bec0ea382e3df140fd88e0be1ed7adc3f4977da731177</vt:lpwstr>
  </property>
  <property fmtid="{D5CDD505-2E9C-101B-9397-08002B2CF9AE}" pid="5" name="MediaServiceImageTags">
    <vt:lpwstr/>
  </property>
  <property fmtid="{D5CDD505-2E9C-101B-9397-08002B2CF9AE}" pid="6" name="Order">
    <vt:r8>1163100</vt:r8>
  </property>
  <property fmtid="{D5CDD505-2E9C-101B-9397-08002B2CF9AE}" pid="7" name="xd_Signature">
    <vt:bool>false</vt:bool>
  </property>
  <property fmtid="{D5CDD505-2E9C-101B-9397-08002B2CF9AE}" pid="8" name="xd_ProgID">
    <vt:lpwstr/>
  </property>
  <property fmtid="{D5CDD505-2E9C-101B-9397-08002B2CF9AE}" pid="9" name="ComplianceAssetId">
    <vt:lpwstr/>
  </property>
  <property fmtid="{D5CDD505-2E9C-101B-9397-08002B2CF9AE}" pid="10" name="TemplateUrl">
    <vt:lpwstr/>
  </property>
  <property fmtid="{D5CDD505-2E9C-101B-9397-08002B2CF9AE}" pid="11" name="_ExtendedDescription">
    <vt:lpwstr/>
  </property>
  <property fmtid="{D5CDD505-2E9C-101B-9397-08002B2CF9AE}" pid="12" name="TriggerFlowInfo">
    <vt:lpwstr/>
  </property>
</Properties>
</file>